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5CD0" w14:textId="31490EA1" w:rsidR="009E3DC1" w:rsidRDefault="000D3BB5">
      <w:bookmarkStart w:id="0" w:name="_Hlk142235326"/>
      <w:r>
        <w:t>La pubblicità legale è regolata dalla delibera Anac n</w:t>
      </w:r>
      <w:r>
        <w:t>. 263</w:t>
      </w:r>
      <w:r>
        <w:t xml:space="preserve"> del</w:t>
      </w:r>
      <w:r>
        <w:t xml:space="preserve"> 20 giugno 2023</w:t>
      </w:r>
      <w:r w:rsidR="003635F0">
        <w:t>, “</w:t>
      </w:r>
      <w:r>
        <w:t>Adozione del provvedimento di cui all’articolo 27 del decreto legislativo 31 marzo 2023, n. 36 d’intesa con il Ministero delle infrastrutture e dei trasporti recante «Modalità di attuazione della pubblicità legale degli atti tramite la Banca dati nazionale dei contratti pubblici»</w:t>
      </w:r>
      <w:r w:rsidR="003635F0">
        <w:t>”</w:t>
      </w:r>
      <w:r w:rsidR="00C508D6">
        <w:t xml:space="preserve"> (BDNCP)</w:t>
      </w:r>
      <w:r w:rsidR="003635F0">
        <w:t xml:space="preserve"> disciplina le modalità di pubblicazione utilizzando la citata </w:t>
      </w:r>
      <w:r w:rsidR="003635F0">
        <w:t>Banca dati nazionale dei contratti pubblici</w:t>
      </w:r>
      <w:r w:rsidR="003635F0">
        <w:t>, uno strumento digitale utile per semplificare di molto operazioni che prima richiedevano continui invii alla Gazzetta Ufficiale italiana o delle comunità europee, oltre che una serie di adempimenti di pubblicità in giornali e riviste.</w:t>
      </w:r>
    </w:p>
    <w:p w14:paraId="21A6F8CF" w14:textId="77777777" w:rsidR="001D054C" w:rsidRDefault="001D054C">
      <w:r>
        <w:t>Ai sensi dell’articolo</w:t>
      </w:r>
      <w:r w:rsidR="000D3BB5">
        <w:t xml:space="preserve"> 84 del codice i bandi e gli avvisi relativi agli appalti di importo pari o superiore alle soglie di rilevanza europea sono trasmessi all’Ufficio delle pubblicazioni dell’Unione Europea per il tramite della BDNCP</w:t>
      </w:r>
      <w:r>
        <w:t>, che quindi costituisce il veicolo per la trasmissione dei dati.</w:t>
      </w:r>
      <w:r w:rsidR="000D3BB5">
        <w:t xml:space="preserve"> L’articolo 85 del codice</w:t>
      </w:r>
      <w:r>
        <w:t xml:space="preserve"> a sua volta dispone che anche </w:t>
      </w:r>
      <w:r w:rsidR="000D3BB5">
        <w:t>la pubblicazione a livello nazionale di avvisi e i bandi relativi a gare di appalto è realizzata tramite la BDNCP, che li pubblica successivamente al ricevimento della conferma di pubblicazione da parte dell’Ufficio delle pubblicazioni dell’Unione Europea o decorso il termine di quarantotto ore dalla conferma della ricezione dell’avviso in conformità all’articolo 84.</w:t>
      </w:r>
    </w:p>
    <w:p w14:paraId="76109DAD" w14:textId="77777777" w:rsidR="00C508D6" w:rsidRDefault="00C508D6">
      <w:r>
        <w:t>E’ l</w:t>
      </w:r>
      <w:r w:rsidR="000D3BB5">
        <w:t>’articolo 182, comma 11, del codice,</w:t>
      </w:r>
      <w:r>
        <w:t xml:space="preserve"> a stabilire come redigere</w:t>
      </w:r>
      <w:r w:rsidR="000D3BB5">
        <w:t xml:space="preserve"> i bandi e gli avvisi relativi alle concessioni di importo pari o superiore alle soglie di rilevanza europea </w:t>
      </w:r>
      <w:r>
        <w:t>e trasmetterli</w:t>
      </w:r>
      <w:r w:rsidR="000D3BB5">
        <w:t xml:space="preserve"> all’Ufficio delle pubblicazioni dell’Unione Europea</w:t>
      </w:r>
      <w:r>
        <w:t>,</w:t>
      </w:r>
      <w:r w:rsidR="000D3BB5">
        <w:t xml:space="preserve"> con le modalità previste dall’articolo 84.</w:t>
      </w:r>
    </w:p>
    <w:p w14:paraId="7256A403" w14:textId="77777777" w:rsidR="00C508D6" w:rsidRDefault="00C508D6">
      <w:r>
        <w:t>La norma chiave della semplificazione è l</w:t>
      </w:r>
      <w:r w:rsidR="000D3BB5">
        <w:t>’articolo 27, comma 1, del codice, secondo cui la pubblicità degli atti è garantita dalla BDNCP, mediante la trasmissione dei dati all’Ufficio delle pubblicazioni dell’Unione Europea e la loro pubblicazione ai sensi de</w:t>
      </w:r>
      <w:r>
        <w:t>i citati</w:t>
      </w:r>
      <w:r w:rsidR="000D3BB5">
        <w:t xml:space="preserve"> articoli 84 e 85</w:t>
      </w:r>
      <w:r>
        <w:t xml:space="preserve"> el codice</w:t>
      </w:r>
      <w:r w:rsidR="000D3BB5">
        <w:t xml:space="preserve">. </w:t>
      </w:r>
    </w:p>
    <w:p w14:paraId="28566437" w14:textId="77777777" w:rsidR="003C5773" w:rsidRDefault="003C5773">
      <w:r>
        <w:t xml:space="preserve">La delibera 263/2023 </w:t>
      </w:r>
      <w:r w:rsidR="000D3BB5">
        <w:t>disciplina le modalità di attuazione della pubblicità degli atti garantita dalla BDNCP, mediante la trasmissione dei dati all’Ufficio delle pubblicazioni dell’Unione europea e la loro pubblicazione ai sensi degli articoli 84 e 85</w:t>
      </w:r>
      <w:r>
        <w:t xml:space="preserve"> del codice</w:t>
      </w:r>
      <w:r w:rsidR="000D3BB5">
        <w:t>.</w:t>
      </w:r>
    </w:p>
    <w:p w14:paraId="25431701" w14:textId="77777777" w:rsidR="003C5773" w:rsidRDefault="003C5773">
      <w:r>
        <w:t>L’articolo 3 di tale delibera dispone che l</w:t>
      </w:r>
      <w:r w:rsidR="000D3BB5">
        <w:t>e stazioni appaltanti e gli enti concedenti soddisfano gli obblighi di pubblicità a livello europeo dei bandi e degli avvisi relativi ad affidamenti di importo pari o superiore alla soglia di rilevanza europea con la trasmissione alla BDNCP degli atti redatti secondo i modelli di formulari approvati con Regolamento di esecuzione UE 2019/1780 della Commissione, come modificato dal Regolamento di esecuzione UE 2022/2023 della Commissione.</w:t>
      </w:r>
    </w:p>
    <w:p w14:paraId="5BF6A88C" w14:textId="77777777" w:rsidR="003C5773" w:rsidRDefault="003C5773">
      <w:r>
        <w:t>Tali atti</w:t>
      </w:r>
      <w:r w:rsidR="000D3BB5">
        <w:t xml:space="preserve"> oggetto di pubblicazione sono trasmessi alla BDNCP con le modalità indicate nel provvedimento adottato ai sensi dell’articolo 23 del codice. </w:t>
      </w:r>
    </w:p>
    <w:p w14:paraId="06F8C08D" w14:textId="77777777" w:rsidR="003C5773" w:rsidRDefault="000D3BB5">
      <w:r>
        <w:t xml:space="preserve">La BDNCP prende in carico le richieste di pubblicazione pervenute entro le ore 18.00, e trasmette gli atti all’Ufficio delle pubblicazioni dell’Unione Europea per la pubblicazione nella GUUE, sul sito TED, il giorno stesso della data di presa in carico. </w:t>
      </w:r>
    </w:p>
    <w:p w14:paraId="44B6C996" w14:textId="77777777" w:rsidR="00DE48DF" w:rsidRDefault="000D3BB5">
      <w:r>
        <w:t xml:space="preserve">La pubblicità a livello nazionale degli atti di cui al comma 1 è garantita dalla BDNCP che li pubblica nella piattaforma per la pubblicità legale degli atti nel rispetto dei termini di cui all’articolo 85 del codice, con l’indicazione della data di trasmissione all’Ufficio delle pubblicazioni dell’Unione Europea e di pubblicazione in BDNCP. </w:t>
      </w:r>
    </w:p>
    <w:p w14:paraId="7628CD40" w14:textId="77777777" w:rsidR="00DE48DF" w:rsidRDefault="00DE48DF">
      <w:r>
        <w:t xml:space="preserve">E’ l’articolo </w:t>
      </w:r>
      <w:r w:rsidR="000D3BB5">
        <w:t>4</w:t>
      </w:r>
      <w:r>
        <w:t xml:space="preserve"> della delibera a regolare la p</w:t>
      </w:r>
      <w:r w:rsidR="000D3BB5">
        <w:t>ubblicità relativa agli affidamenti di importo inferiore alla soglia di rilevanza europea</w:t>
      </w:r>
      <w:r>
        <w:t>.</w:t>
      </w:r>
    </w:p>
    <w:p w14:paraId="379EEBA0" w14:textId="77777777" w:rsidR="002A6091" w:rsidRDefault="00DE48DF">
      <w:r>
        <w:t>Anche in questi casi, l</w:t>
      </w:r>
      <w:r w:rsidR="000D3BB5">
        <w:t>a pubblicità a livello nazionale dei bandi e degli avvisi relativi ad affidamenti di importo inferiore alla soglia di rilevanza europea è garantita dalla BDNCP che li pubblica, sulla piattaforma per la pubblicità legale degli atti, in estratto riportando il collegamento ipertestuale di cui all’articolo 85 comma 4,</w:t>
      </w:r>
      <w:r w:rsidR="002A6091">
        <w:t xml:space="preserve"> del codice</w:t>
      </w:r>
      <w:r w:rsidR="000D3BB5">
        <w:t xml:space="preserve"> con l’indicazione della relativa data di pubblicazione.</w:t>
      </w:r>
    </w:p>
    <w:p w14:paraId="54F21180" w14:textId="77777777" w:rsidR="002A6091" w:rsidRDefault="002A6091">
      <w:r>
        <w:t>L</w:t>
      </w:r>
      <w:r w:rsidR="000D3BB5">
        <w:t xml:space="preserve">e stazioni appaltanti e gli enti concedenti trasmettono i bandi e gli avvisi alla BDNCP con le modalità indicate nel provvedimento adottato ai sensi dell’articolo 23 del codice. </w:t>
      </w:r>
    </w:p>
    <w:p w14:paraId="4C80D20F" w14:textId="77777777" w:rsidR="002A6091" w:rsidRDefault="002A6091">
      <w:r>
        <w:t>L</w:t>
      </w:r>
      <w:r w:rsidR="000D3BB5">
        <w:t>a BDNCP prende in carico le richieste di pubblicazione pervenute nei giorni non festivi dal lunedì al venerdì e pubblica gli atti il primo giorno feriale successivo alla data di presa in carico. Non rientra tra i giorni feriali utili alla pubblicazione la giornata di sabato.</w:t>
      </w:r>
    </w:p>
    <w:p w14:paraId="79EE9671" w14:textId="77777777" w:rsidR="002A6091" w:rsidRDefault="002A6091">
      <w:r>
        <w:lastRenderedPageBreak/>
        <w:t>Per il caso della p</w:t>
      </w:r>
      <w:r w:rsidR="000D3BB5">
        <w:t>ubblicità relativa agli affidamenti di importo inferiore alla soglia di rilevanza europea di interesse transfrontaliero certo</w:t>
      </w:r>
      <w:r>
        <w:t>, l’articolo 5 della delibera 263/2023</w:t>
      </w:r>
      <w:r w:rsidR="000D3BB5">
        <w:t xml:space="preserve"> </w:t>
      </w:r>
      <w:r>
        <w:t>stabilisce che i</w:t>
      </w:r>
      <w:r w:rsidR="000D3BB5">
        <w:t xml:space="preserve"> bandi e gli avvisi relativi agli affidamenti di importo inferiore alla soglia di rilevanza europea di interesse transfrontaliero certo sono pubblicati secondo i termini e le modalità di cui all’articolo 3. </w:t>
      </w:r>
    </w:p>
    <w:p w14:paraId="71CE8BA5" w14:textId="77777777" w:rsidR="00651C18" w:rsidRDefault="002A6091">
      <w:r>
        <w:t>Ai sensi dell’articolo 6 della delibera, g</w:t>
      </w:r>
      <w:r w:rsidR="000D3BB5">
        <w:t>li effetti giuridici degli atti pubblicati ai sensi degli articoli 3, 4 e 5 decorrono dalla data di pubblicazione nella BDNCP</w:t>
      </w:r>
      <w:r>
        <w:t>, e d</w:t>
      </w:r>
      <w:r w:rsidR="000D3BB5">
        <w:t>alla data di pubblicazione degli atti nella BDNCP, le stazioni appaltanti e gli enti concedenti rendono accessibili i documenti di gara attraverso il collegamento ipertestuale di cui all’articolo 4 punto 1 comunicato alla BDNCP, garantendone l’accesso e la disponibilità fino al completamento della procedura e all’esecuzione del contratto.</w:t>
      </w:r>
    </w:p>
    <w:p w14:paraId="3D42E090" w14:textId="77777777" w:rsidR="00651C18" w:rsidRDefault="000D3BB5">
      <w:r>
        <w:t xml:space="preserve">La BDNCP garantisce che gli atti continuano ad essere pubblicati: </w:t>
      </w:r>
    </w:p>
    <w:p w14:paraId="28AE43AA" w14:textId="77777777" w:rsidR="00651C18" w:rsidRDefault="000D3BB5">
      <w:r>
        <w:t xml:space="preserve">a. nel caso di bandi e avvisi indittivi di procedure di affidamento, almeno fino alla loro scadenza e comunque non meno di trenta giorni; </w:t>
      </w:r>
    </w:p>
    <w:p w14:paraId="09824454" w14:textId="77777777" w:rsidR="00651C18" w:rsidRDefault="000D3BB5">
      <w:r>
        <w:t>b. nel caso di avvisi di indizione di gara che istituiscono un sistema dinamico di acquisizione, per il periodo di validità del sistema dinamico di acquisizione; c. nel caso di avvisi di pre-informazione e di avvisi periodici indicativi, fino alla scadenza del periodo di validità indicato inizialmente o fino alla ricezione di un avviso di aggiudicazione indicante che non saranno affidati ulteriori contratti nel periodo coperto dall'indizione di gara; d. nel caso di avvisi relativi ai contratti aggiudicati e avvisi di intervenuta modifica del contratto, per almeno trenta giorni.</w:t>
      </w:r>
    </w:p>
    <w:p w14:paraId="1AB72212" w14:textId="77777777" w:rsidR="00651C18" w:rsidRDefault="00651C18">
      <w:r>
        <w:t>Ai sensi dell’articolo 8, l</w:t>
      </w:r>
      <w:r w:rsidR="000D3BB5">
        <w:t>e stazioni appaltanti e gli enti concedenti sono responsabili della correttezza e della veridicità dei dati e delle informazioni contenuti negli atti trasmessi alla BDNCP ai fini della pubblicazione.</w:t>
      </w:r>
    </w:p>
    <w:p w14:paraId="6A501F77" w14:textId="1989AED1" w:rsidR="000D3BB5" w:rsidRDefault="000D3BB5">
      <w:r>
        <w:t>In attuazione dell’articolo 225 comma 1 del codice,</w:t>
      </w:r>
      <w:r w:rsidR="00651C18">
        <w:t xml:space="preserve"> la delibera 263/2023 </w:t>
      </w:r>
      <w:r>
        <w:t>acquista efficacia a decorrere dal 1° gennaio 2024</w:t>
      </w:r>
      <w:r w:rsidR="00651C18">
        <w:t>.</w:t>
      </w:r>
    </w:p>
    <w:p w14:paraId="408CF596" w14:textId="5996C236" w:rsidR="00CF5DD9" w:rsidRDefault="008B47DE">
      <w:r>
        <w:t>Di seguito, l’</w:t>
      </w:r>
      <w:r w:rsidRPr="008B47DE">
        <w:t>Allegato I</w:t>
      </w:r>
      <w:r>
        <w:t xml:space="preserve"> alla delibera ANAC 263/2023</w:t>
      </w:r>
      <w:r w:rsidRPr="008B47DE">
        <w:t xml:space="preserve"> - Elenco obblighi di pubblicazione</w:t>
      </w:r>
    </w:p>
    <w:p w14:paraId="55658482" w14:textId="77777777" w:rsidR="0093082B" w:rsidRDefault="0093082B"/>
    <w:tbl>
      <w:tblPr>
        <w:tblW w:w="9634" w:type="dxa"/>
        <w:tblInd w:w="75" w:type="dxa"/>
        <w:tblCellMar>
          <w:left w:w="70" w:type="dxa"/>
          <w:right w:w="70" w:type="dxa"/>
        </w:tblCellMar>
        <w:tblLook w:val="04A0" w:firstRow="1" w:lastRow="0" w:firstColumn="1" w:lastColumn="0" w:noHBand="0" w:noVBand="1"/>
      </w:tblPr>
      <w:tblGrid>
        <w:gridCol w:w="1980"/>
        <w:gridCol w:w="992"/>
        <w:gridCol w:w="3544"/>
        <w:gridCol w:w="3118"/>
      </w:tblGrid>
      <w:tr w:rsidR="00041B26" w:rsidRPr="00CF5DD9" w14:paraId="5D2EC746" w14:textId="77777777" w:rsidTr="0093082B">
        <w:trPr>
          <w:trHeight w:val="822"/>
        </w:trPr>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14:paraId="79CE73E0"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e procedure</w:t>
            </w:r>
          </w:p>
        </w:tc>
        <w:tc>
          <w:tcPr>
            <w:tcW w:w="992" w:type="dxa"/>
            <w:tcBorders>
              <w:top w:val="single" w:sz="4" w:space="0" w:color="000000"/>
              <w:left w:val="nil"/>
              <w:bottom w:val="single" w:sz="4" w:space="0" w:color="000000"/>
              <w:right w:val="single" w:sz="4" w:space="0" w:color="000000"/>
            </w:tcBorders>
            <w:shd w:val="clear" w:color="auto" w:fill="auto"/>
            <w:hideMark/>
          </w:tcPr>
          <w:p w14:paraId="004063E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Scheda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art. 23</w:t>
            </w:r>
          </w:p>
        </w:tc>
        <w:tc>
          <w:tcPr>
            <w:tcW w:w="3544" w:type="dxa"/>
            <w:tcBorders>
              <w:top w:val="single" w:sz="4" w:space="0" w:color="000000"/>
              <w:left w:val="nil"/>
              <w:bottom w:val="single" w:sz="4" w:space="0" w:color="000000"/>
              <w:right w:val="single" w:sz="4" w:space="0" w:color="000000"/>
            </w:tcBorders>
            <w:shd w:val="clear" w:color="auto" w:fill="auto"/>
            <w:hideMark/>
          </w:tcPr>
          <w:p w14:paraId="4145040F"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Descrizione del contenuto dei dati</w:t>
            </w:r>
          </w:p>
        </w:tc>
        <w:tc>
          <w:tcPr>
            <w:tcW w:w="3118" w:type="dxa"/>
            <w:tcBorders>
              <w:top w:val="single" w:sz="4" w:space="0" w:color="000000"/>
              <w:left w:val="nil"/>
              <w:bottom w:val="single" w:sz="4" w:space="0" w:color="000000"/>
              <w:right w:val="single" w:sz="4" w:space="0" w:color="000000"/>
            </w:tcBorders>
            <w:shd w:val="clear" w:color="auto" w:fill="auto"/>
            <w:hideMark/>
          </w:tcPr>
          <w:p w14:paraId="0FB99250"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Riferimento normativo</w:t>
            </w:r>
          </w:p>
        </w:tc>
      </w:tr>
      <w:tr w:rsidR="00CF5DD9" w:rsidRPr="00CF5DD9" w14:paraId="18F536A4" w14:textId="77777777" w:rsidTr="0093082B">
        <w:trPr>
          <w:trHeight w:val="360"/>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69FBBD1" w14:textId="77777777" w:rsidR="00CF5DD9" w:rsidRPr="00CF5DD9" w:rsidRDefault="00CF5DD9" w:rsidP="00CF5DD9">
            <w:pPr>
              <w:jc w:val="cente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PROCEDURE PARI O SOPRA SOGLIA</w:t>
            </w:r>
          </w:p>
        </w:tc>
      </w:tr>
      <w:tr w:rsidR="00041B26" w:rsidRPr="00CF5DD9" w14:paraId="21BEE5A8" w14:textId="77777777" w:rsidTr="0093082B">
        <w:trPr>
          <w:trHeight w:val="1062"/>
        </w:trPr>
        <w:tc>
          <w:tcPr>
            <w:tcW w:w="1980" w:type="dxa"/>
            <w:tcBorders>
              <w:top w:val="nil"/>
              <w:left w:val="single" w:sz="4" w:space="0" w:color="000000"/>
              <w:bottom w:val="single" w:sz="4" w:space="0" w:color="000000"/>
              <w:right w:val="single" w:sz="4" w:space="0" w:color="000000"/>
            </w:tcBorders>
            <w:shd w:val="clear" w:color="auto" w:fill="auto"/>
            <w:hideMark/>
          </w:tcPr>
          <w:p w14:paraId="123DF2C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ordinari pari</w:t>
            </w:r>
            <w:r w:rsidRPr="00CF5DD9">
              <w:rPr>
                <w:rFonts w:ascii="Arial" w:eastAsia="Times New Roman" w:hAnsi="Arial" w:cs="Arial"/>
                <w:b/>
                <w:bCs/>
                <w:kern w:val="0"/>
                <w:sz w:val="20"/>
                <w:szCs w:val="20"/>
                <w:lang w:eastAsia="it-IT"/>
              </w:rPr>
              <w:br/>
              <w:t>/sopra soglia</w:t>
            </w:r>
          </w:p>
        </w:tc>
        <w:tc>
          <w:tcPr>
            <w:tcW w:w="992" w:type="dxa"/>
            <w:tcBorders>
              <w:top w:val="nil"/>
              <w:left w:val="nil"/>
              <w:bottom w:val="single" w:sz="4" w:space="0" w:color="000000"/>
              <w:right w:val="single" w:sz="4" w:space="0" w:color="000000"/>
            </w:tcBorders>
            <w:shd w:val="clear" w:color="auto" w:fill="auto"/>
            <w:hideMark/>
          </w:tcPr>
          <w:p w14:paraId="6D97241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P1.1</w:t>
            </w:r>
          </w:p>
        </w:tc>
        <w:tc>
          <w:tcPr>
            <w:tcW w:w="3544" w:type="dxa"/>
            <w:tcBorders>
              <w:top w:val="nil"/>
              <w:left w:val="nil"/>
              <w:bottom w:val="single" w:sz="4" w:space="0" w:color="000000"/>
              <w:right w:val="single" w:sz="4" w:space="0" w:color="000000"/>
            </w:tcBorders>
            <w:shd w:val="clear" w:color="auto" w:fill="auto"/>
            <w:hideMark/>
          </w:tcPr>
          <w:p w14:paraId="5A506CD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pubblicazione di un avviso di preinformazione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relativo al profilo di committente — direttiva generale</w:t>
            </w:r>
          </w:p>
        </w:tc>
        <w:tc>
          <w:tcPr>
            <w:tcW w:w="3118" w:type="dxa"/>
            <w:tcBorders>
              <w:top w:val="single" w:sz="4" w:space="0" w:color="000000"/>
              <w:left w:val="nil"/>
              <w:bottom w:val="single" w:sz="4" w:space="0" w:color="000000"/>
              <w:right w:val="single" w:sz="4" w:space="0" w:color="000000"/>
            </w:tcBorders>
            <w:shd w:val="clear" w:color="auto" w:fill="auto"/>
            <w:hideMark/>
          </w:tcPr>
          <w:p w14:paraId="5A6CF9F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48, paragrafo 1, della direttiva 2014/24/UE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81 comma 1 decreto legislativo 36/2023</w:t>
            </w:r>
          </w:p>
        </w:tc>
      </w:tr>
      <w:tr w:rsidR="00041B26" w:rsidRPr="00CF5DD9" w14:paraId="3890A783" w14:textId="77777777" w:rsidTr="0093082B">
        <w:trPr>
          <w:trHeight w:val="1062"/>
        </w:trPr>
        <w:tc>
          <w:tcPr>
            <w:tcW w:w="1980" w:type="dxa"/>
            <w:tcBorders>
              <w:top w:val="nil"/>
              <w:left w:val="single" w:sz="4" w:space="0" w:color="000000"/>
              <w:bottom w:val="single" w:sz="4" w:space="0" w:color="000000"/>
              <w:right w:val="single" w:sz="4" w:space="0" w:color="000000"/>
            </w:tcBorders>
            <w:shd w:val="clear" w:color="auto" w:fill="auto"/>
            <w:hideMark/>
          </w:tcPr>
          <w:p w14:paraId="337D1ED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speciali pari</w:t>
            </w:r>
            <w:r w:rsidRPr="00CF5DD9">
              <w:rPr>
                <w:rFonts w:ascii="Arial" w:eastAsia="Times New Roman" w:hAnsi="Arial" w:cs="Arial"/>
                <w:b/>
                <w:bCs/>
                <w:kern w:val="0"/>
                <w:sz w:val="20"/>
                <w:szCs w:val="20"/>
                <w:lang w:eastAsia="it-IT"/>
              </w:rPr>
              <w:br/>
              <w:t>/sopra soglia</w:t>
            </w:r>
          </w:p>
        </w:tc>
        <w:tc>
          <w:tcPr>
            <w:tcW w:w="992" w:type="dxa"/>
            <w:tcBorders>
              <w:top w:val="nil"/>
              <w:left w:val="nil"/>
              <w:bottom w:val="single" w:sz="4" w:space="0" w:color="000000"/>
              <w:right w:val="single" w:sz="4" w:space="0" w:color="000000"/>
            </w:tcBorders>
            <w:shd w:val="clear" w:color="auto" w:fill="auto"/>
            <w:hideMark/>
          </w:tcPr>
          <w:p w14:paraId="621522E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P1.2</w:t>
            </w:r>
          </w:p>
        </w:tc>
        <w:tc>
          <w:tcPr>
            <w:tcW w:w="3544" w:type="dxa"/>
            <w:tcBorders>
              <w:top w:val="nil"/>
              <w:left w:val="nil"/>
              <w:bottom w:val="single" w:sz="4" w:space="0" w:color="000000"/>
              <w:right w:val="single" w:sz="4" w:space="0" w:color="000000"/>
            </w:tcBorders>
            <w:shd w:val="clear" w:color="auto" w:fill="auto"/>
            <w:hideMark/>
          </w:tcPr>
          <w:p w14:paraId="5FE7E67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pubblicazione di un avviso periodico indicativo</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relativo al profilo di committente — direttiva settoriale</w:t>
            </w:r>
          </w:p>
        </w:tc>
        <w:tc>
          <w:tcPr>
            <w:tcW w:w="3118" w:type="dxa"/>
            <w:tcBorders>
              <w:top w:val="single" w:sz="4" w:space="0" w:color="000000"/>
              <w:left w:val="nil"/>
              <w:bottom w:val="single" w:sz="4" w:space="0" w:color="000000"/>
              <w:right w:val="single" w:sz="4" w:space="0" w:color="000000"/>
            </w:tcBorders>
            <w:shd w:val="clear" w:color="auto" w:fill="auto"/>
            <w:hideMark/>
          </w:tcPr>
          <w:p w14:paraId="5E81E73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67, paragrafo 1, della direttiva 2014/25/UE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161 comma 1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164 decreto legislativo 36/2023</w:t>
            </w:r>
          </w:p>
        </w:tc>
      </w:tr>
      <w:tr w:rsidR="00041B26" w:rsidRPr="00CF5DD9" w14:paraId="577F3DD9" w14:textId="77777777" w:rsidTr="0093082B">
        <w:trPr>
          <w:trHeight w:val="1320"/>
        </w:trPr>
        <w:tc>
          <w:tcPr>
            <w:tcW w:w="1980" w:type="dxa"/>
            <w:tcBorders>
              <w:top w:val="nil"/>
              <w:left w:val="single" w:sz="4" w:space="0" w:color="000000"/>
              <w:bottom w:val="single" w:sz="4" w:space="0" w:color="000000"/>
              <w:right w:val="single" w:sz="4" w:space="0" w:color="000000"/>
            </w:tcBorders>
            <w:shd w:val="clear" w:color="auto" w:fill="auto"/>
            <w:hideMark/>
          </w:tcPr>
          <w:p w14:paraId="207727B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settore difesa 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sicurezza pari /sopra soglia</w:t>
            </w:r>
          </w:p>
        </w:tc>
        <w:tc>
          <w:tcPr>
            <w:tcW w:w="992" w:type="dxa"/>
            <w:tcBorders>
              <w:top w:val="nil"/>
              <w:left w:val="nil"/>
              <w:bottom w:val="single" w:sz="4" w:space="0" w:color="000000"/>
              <w:right w:val="single" w:sz="4" w:space="0" w:color="000000"/>
            </w:tcBorders>
            <w:shd w:val="clear" w:color="auto" w:fill="auto"/>
            <w:hideMark/>
          </w:tcPr>
          <w:p w14:paraId="163AF97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P1.3</w:t>
            </w:r>
          </w:p>
        </w:tc>
        <w:tc>
          <w:tcPr>
            <w:tcW w:w="3544" w:type="dxa"/>
            <w:tcBorders>
              <w:top w:val="nil"/>
              <w:left w:val="nil"/>
              <w:bottom w:val="single" w:sz="4" w:space="0" w:color="000000"/>
              <w:right w:val="single" w:sz="4" w:space="0" w:color="000000"/>
            </w:tcBorders>
            <w:shd w:val="clear" w:color="auto" w:fill="auto"/>
            <w:hideMark/>
          </w:tcPr>
          <w:p w14:paraId="6F7FF76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pubblicazione di un avviso di preinformazione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relativo al profilo di committente —</w:t>
            </w:r>
            <w:r w:rsidRPr="00CF5DD9">
              <w:rPr>
                <w:rFonts w:ascii="Arial" w:eastAsia="Times New Roman" w:hAnsi="Arial" w:cs="Arial"/>
                <w:kern w:val="0"/>
                <w:sz w:val="20"/>
                <w:szCs w:val="20"/>
                <w:lang w:eastAsia="it-IT"/>
              </w:rPr>
              <w:br/>
              <w:t>direttiva per il settore della difesa</w:t>
            </w:r>
          </w:p>
        </w:tc>
        <w:tc>
          <w:tcPr>
            <w:tcW w:w="3118" w:type="dxa"/>
            <w:tcBorders>
              <w:top w:val="single" w:sz="4" w:space="0" w:color="000000"/>
              <w:left w:val="nil"/>
              <w:bottom w:val="single" w:sz="4" w:space="0" w:color="000000"/>
              <w:right w:val="single" w:sz="4" w:space="0" w:color="000000"/>
            </w:tcBorders>
            <w:shd w:val="clear" w:color="auto" w:fill="auto"/>
            <w:hideMark/>
          </w:tcPr>
          <w:p w14:paraId="1B423F3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30, paragrafo 1, terzo comma, della direttiva 2009/81/CE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21 decreto legislativo 208/2011</w:t>
            </w:r>
            <w:r w:rsidRPr="00CF5DD9">
              <w:rPr>
                <w:rFonts w:ascii="Arial" w:eastAsia="Times New Roman" w:hAnsi="Arial" w:cs="Arial"/>
                <w:kern w:val="0"/>
                <w:sz w:val="20"/>
                <w:szCs w:val="20"/>
                <w:lang w:eastAsia="it-IT"/>
              </w:rPr>
              <w:br/>
              <w:t>Articolo 81 comma 1 decreto legislativo 36/2023</w:t>
            </w:r>
          </w:p>
        </w:tc>
      </w:tr>
      <w:tr w:rsidR="00041B26" w:rsidRPr="00CF5DD9" w14:paraId="68563F5F" w14:textId="77777777" w:rsidTr="0093082B">
        <w:trPr>
          <w:trHeight w:val="1062"/>
        </w:trPr>
        <w:tc>
          <w:tcPr>
            <w:tcW w:w="1980" w:type="dxa"/>
            <w:tcBorders>
              <w:top w:val="nil"/>
              <w:left w:val="single" w:sz="4" w:space="0" w:color="000000"/>
              <w:bottom w:val="single" w:sz="4" w:space="0" w:color="000000"/>
              <w:right w:val="single" w:sz="4" w:space="0" w:color="000000"/>
            </w:tcBorders>
            <w:shd w:val="clear" w:color="auto" w:fill="auto"/>
            <w:hideMark/>
          </w:tcPr>
          <w:p w14:paraId="4774A21F"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ordinari pari</w:t>
            </w:r>
            <w:r w:rsidRPr="00CF5DD9">
              <w:rPr>
                <w:rFonts w:ascii="Arial" w:eastAsia="Times New Roman" w:hAnsi="Arial" w:cs="Arial"/>
                <w:b/>
                <w:bCs/>
                <w:kern w:val="0"/>
                <w:sz w:val="20"/>
                <w:szCs w:val="20"/>
                <w:lang w:eastAsia="it-IT"/>
              </w:rPr>
              <w:br/>
              <w:t>/sopra soglia</w:t>
            </w:r>
          </w:p>
        </w:tc>
        <w:tc>
          <w:tcPr>
            <w:tcW w:w="992" w:type="dxa"/>
            <w:tcBorders>
              <w:top w:val="nil"/>
              <w:left w:val="nil"/>
              <w:bottom w:val="single" w:sz="4" w:space="0" w:color="000000"/>
              <w:right w:val="single" w:sz="4" w:space="0" w:color="000000"/>
            </w:tcBorders>
            <w:shd w:val="clear" w:color="auto" w:fill="auto"/>
            <w:hideMark/>
          </w:tcPr>
          <w:p w14:paraId="607C5581"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P1.4</w:t>
            </w:r>
          </w:p>
        </w:tc>
        <w:tc>
          <w:tcPr>
            <w:tcW w:w="3544" w:type="dxa"/>
            <w:tcBorders>
              <w:top w:val="nil"/>
              <w:left w:val="nil"/>
              <w:bottom w:val="single" w:sz="4" w:space="0" w:color="000000"/>
              <w:right w:val="single" w:sz="4" w:space="0" w:color="000000"/>
            </w:tcBorders>
            <w:shd w:val="clear" w:color="auto" w:fill="auto"/>
            <w:hideMark/>
          </w:tcPr>
          <w:p w14:paraId="1CE9125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preinformazione a fini unicamente informativi</w:t>
            </w:r>
            <w:r w:rsidRPr="00CF5DD9">
              <w:rPr>
                <w:rFonts w:ascii="Arial" w:eastAsia="Times New Roman" w:hAnsi="Arial" w:cs="Arial"/>
                <w:kern w:val="0"/>
                <w:sz w:val="20"/>
                <w:szCs w:val="20"/>
                <w:lang w:eastAsia="it-IT"/>
              </w:rPr>
              <w:br/>
              <w:t>— direttiva generale</w:t>
            </w:r>
          </w:p>
        </w:tc>
        <w:tc>
          <w:tcPr>
            <w:tcW w:w="3118" w:type="dxa"/>
            <w:tcBorders>
              <w:top w:val="single" w:sz="4" w:space="0" w:color="000000"/>
              <w:left w:val="nil"/>
              <w:bottom w:val="single" w:sz="4" w:space="0" w:color="000000"/>
              <w:right w:val="single" w:sz="4" w:space="0" w:color="000000"/>
            </w:tcBorders>
            <w:shd w:val="clear" w:color="auto" w:fill="auto"/>
            <w:hideMark/>
          </w:tcPr>
          <w:p w14:paraId="3470D98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48, paragrafo 1, della direttiva 2014/24/UE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81 comma 1 decreto legislativo 36/2023</w:t>
            </w:r>
          </w:p>
        </w:tc>
      </w:tr>
      <w:tr w:rsidR="00041B26" w:rsidRPr="00CF5DD9" w14:paraId="160BA77C" w14:textId="77777777" w:rsidTr="0093082B">
        <w:trPr>
          <w:trHeight w:val="1062"/>
        </w:trPr>
        <w:tc>
          <w:tcPr>
            <w:tcW w:w="1980" w:type="dxa"/>
            <w:tcBorders>
              <w:top w:val="nil"/>
              <w:left w:val="single" w:sz="4" w:space="0" w:color="000000"/>
              <w:bottom w:val="single" w:sz="4" w:space="0" w:color="000000"/>
              <w:right w:val="single" w:sz="4" w:space="0" w:color="000000"/>
            </w:tcBorders>
            <w:shd w:val="clear" w:color="auto" w:fill="auto"/>
            <w:hideMark/>
          </w:tcPr>
          <w:p w14:paraId="4FCA2136"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speciali pari</w:t>
            </w:r>
            <w:r w:rsidRPr="00CF5DD9">
              <w:rPr>
                <w:rFonts w:ascii="Arial" w:eastAsia="Times New Roman" w:hAnsi="Arial" w:cs="Arial"/>
                <w:b/>
                <w:bCs/>
                <w:kern w:val="0"/>
                <w:sz w:val="20"/>
                <w:szCs w:val="20"/>
                <w:lang w:eastAsia="it-IT"/>
              </w:rPr>
              <w:br/>
              <w:t>/sopra soglia</w:t>
            </w:r>
          </w:p>
        </w:tc>
        <w:tc>
          <w:tcPr>
            <w:tcW w:w="992" w:type="dxa"/>
            <w:tcBorders>
              <w:top w:val="nil"/>
              <w:left w:val="nil"/>
              <w:bottom w:val="single" w:sz="4" w:space="0" w:color="000000"/>
              <w:right w:val="single" w:sz="4" w:space="0" w:color="000000"/>
            </w:tcBorders>
            <w:shd w:val="clear" w:color="auto" w:fill="auto"/>
            <w:hideMark/>
          </w:tcPr>
          <w:p w14:paraId="1868FE92"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P1.5</w:t>
            </w:r>
          </w:p>
        </w:tc>
        <w:tc>
          <w:tcPr>
            <w:tcW w:w="3544" w:type="dxa"/>
            <w:tcBorders>
              <w:top w:val="nil"/>
              <w:left w:val="nil"/>
              <w:bottom w:val="single" w:sz="4" w:space="0" w:color="000000"/>
              <w:right w:val="single" w:sz="4" w:space="0" w:color="000000"/>
            </w:tcBorders>
            <w:shd w:val="clear" w:color="auto" w:fill="auto"/>
            <w:hideMark/>
          </w:tcPr>
          <w:p w14:paraId="0EFAD46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periodico indicativo a fini unicamente informativi</w:t>
            </w:r>
            <w:r w:rsidRPr="00CF5DD9">
              <w:rPr>
                <w:rFonts w:ascii="Arial" w:eastAsia="Times New Roman" w:hAnsi="Arial" w:cs="Arial"/>
                <w:kern w:val="0"/>
                <w:sz w:val="20"/>
                <w:szCs w:val="20"/>
                <w:lang w:eastAsia="it-IT"/>
              </w:rPr>
              <w:br/>
              <w:t>— direttiva settoriale</w:t>
            </w:r>
          </w:p>
        </w:tc>
        <w:tc>
          <w:tcPr>
            <w:tcW w:w="3118" w:type="dxa"/>
            <w:tcBorders>
              <w:top w:val="single" w:sz="4" w:space="0" w:color="000000"/>
              <w:left w:val="nil"/>
              <w:bottom w:val="single" w:sz="4" w:space="0" w:color="000000"/>
              <w:right w:val="single" w:sz="4" w:space="0" w:color="000000"/>
            </w:tcBorders>
            <w:shd w:val="clear" w:color="auto" w:fill="auto"/>
            <w:hideMark/>
          </w:tcPr>
          <w:p w14:paraId="47B2163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67, paragrafo 1, della direttiva 2014/25/UE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161 comma 1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164 decreto legislativo 36/2023</w:t>
            </w:r>
          </w:p>
        </w:tc>
      </w:tr>
      <w:tr w:rsidR="00041B26" w:rsidRPr="00CF5DD9" w14:paraId="58ED728A" w14:textId="77777777" w:rsidTr="0093082B">
        <w:trPr>
          <w:trHeight w:val="1219"/>
        </w:trPr>
        <w:tc>
          <w:tcPr>
            <w:tcW w:w="1980" w:type="dxa"/>
            <w:tcBorders>
              <w:top w:val="nil"/>
              <w:left w:val="single" w:sz="4" w:space="0" w:color="000000"/>
              <w:bottom w:val="single" w:sz="4" w:space="0" w:color="000000"/>
              <w:right w:val="single" w:sz="4" w:space="0" w:color="000000"/>
            </w:tcBorders>
            <w:shd w:val="clear" w:color="auto" w:fill="auto"/>
            <w:hideMark/>
          </w:tcPr>
          <w:p w14:paraId="5824EF8D"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lastRenderedPageBreak/>
              <w:t>appalti settore difesa 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sicurezza pari /sopra soglia</w:t>
            </w:r>
          </w:p>
        </w:tc>
        <w:tc>
          <w:tcPr>
            <w:tcW w:w="992" w:type="dxa"/>
            <w:tcBorders>
              <w:top w:val="nil"/>
              <w:left w:val="nil"/>
              <w:bottom w:val="single" w:sz="4" w:space="0" w:color="000000"/>
              <w:right w:val="single" w:sz="4" w:space="0" w:color="000000"/>
            </w:tcBorders>
            <w:shd w:val="clear" w:color="auto" w:fill="auto"/>
            <w:hideMark/>
          </w:tcPr>
          <w:p w14:paraId="1C06D435"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P1.6</w:t>
            </w:r>
          </w:p>
        </w:tc>
        <w:tc>
          <w:tcPr>
            <w:tcW w:w="3544" w:type="dxa"/>
            <w:tcBorders>
              <w:top w:val="nil"/>
              <w:left w:val="nil"/>
              <w:bottom w:val="single" w:sz="4" w:space="0" w:color="000000"/>
              <w:right w:val="single" w:sz="4" w:space="0" w:color="000000"/>
            </w:tcBorders>
            <w:shd w:val="clear" w:color="auto" w:fill="auto"/>
            <w:hideMark/>
          </w:tcPr>
          <w:p w14:paraId="4D07C2E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Avviso di preinformazione a fini unicamente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informativi — direttiva per il settore della difesa</w:t>
            </w:r>
          </w:p>
        </w:tc>
        <w:tc>
          <w:tcPr>
            <w:tcW w:w="3118" w:type="dxa"/>
            <w:tcBorders>
              <w:top w:val="single" w:sz="4" w:space="0" w:color="000000"/>
              <w:left w:val="nil"/>
              <w:bottom w:val="single" w:sz="4" w:space="0" w:color="000000"/>
              <w:right w:val="single" w:sz="4" w:space="0" w:color="000000"/>
            </w:tcBorders>
            <w:shd w:val="clear" w:color="auto" w:fill="auto"/>
            <w:hideMark/>
          </w:tcPr>
          <w:p w14:paraId="3DCC127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30, paragrafo 1, della direttiva 2009/81/CE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escluso/difesa</w:t>
            </w:r>
            <w:r w:rsidRPr="00CF5DD9">
              <w:rPr>
                <w:rFonts w:ascii="Arial" w:eastAsia="Times New Roman" w:hAnsi="Arial" w:cs="Arial"/>
                <w:kern w:val="0"/>
                <w:sz w:val="20"/>
                <w:szCs w:val="20"/>
                <w:lang w:eastAsia="it-IT"/>
              </w:rPr>
              <w:br/>
              <w:t>Articolo 21 decreto legislativo 208/2011</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81 comma 1 decreto legislativo 36/2023</w:t>
            </w:r>
          </w:p>
        </w:tc>
      </w:tr>
      <w:tr w:rsidR="00041B26" w:rsidRPr="00CF5DD9" w14:paraId="2D8177E9" w14:textId="77777777" w:rsidTr="0093082B">
        <w:trPr>
          <w:trHeight w:val="1260"/>
        </w:trPr>
        <w:tc>
          <w:tcPr>
            <w:tcW w:w="1980" w:type="dxa"/>
            <w:tcBorders>
              <w:top w:val="nil"/>
              <w:left w:val="single" w:sz="4" w:space="0" w:color="000000"/>
              <w:bottom w:val="single" w:sz="4" w:space="0" w:color="000000"/>
              <w:right w:val="single" w:sz="4" w:space="0" w:color="000000"/>
            </w:tcBorders>
            <w:shd w:val="clear" w:color="auto" w:fill="auto"/>
            <w:hideMark/>
          </w:tcPr>
          <w:p w14:paraId="284FF60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ordinari pari</w:t>
            </w:r>
            <w:r w:rsidRPr="00CF5DD9">
              <w:rPr>
                <w:rFonts w:ascii="Arial" w:eastAsia="Times New Roman" w:hAnsi="Arial" w:cs="Arial"/>
                <w:b/>
                <w:bCs/>
                <w:kern w:val="0"/>
                <w:sz w:val="20"/>
                <w:szCs w:val="20"/>
                <w:lang w:eastAsia="it-IT"/>
              </w:rPr>
              <w:br/>
              <w:t>/sopra soglia</w:t>
            </w:r>
          </w:p>
        </w:tc>
        <w:tc>
          <w:tcPr>
            <w:tcW w:w="992" w:type="dxa"/>
            <w:tcBorders>
              <w:top w:val="nil"/>
              <w:left w:val="nil"/>
              <w:bottom w:val="single" w:sz="4" w:space="0" w:color="000000"/>
              <w:right w:val="single" w:sz="4" w:space="0" w:color="000000"/>
            </w:tcBorders>
            <w:shd w:val="clear" w:color="auto" w:fill="auto"/>
            <w:hideMark/>
          </w:tcPr>
          <w:p w14:paraId="1E9DE826"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P1.7</w:t>
            </w:r>
          </w:p>
        </w:tc>
        <w:tc>
          <w:tcPr>
            <w:tcW w:w="3544" w:type="dxa"/>
            <w:tcBorders>
              <w:top w:val="nil"/>
              <w:left w:val="nil"/>
              <w:bottom w:val="single" w:sz="4" w:space="0" w:color="000000"/>
              <w:right w:val="single" w:sz="4" w:space="0" w:color="000000"/>
            </w:tcBorders>
            <w:shd w:val="clear" w:color="auto" w:fill="auto"/>
            <w:hideMark/>
          </w:tcPr>
          <w:p w14:paraId="2ADFB47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Avviso di preinformazione utilizzato per abbreviare 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termini per la ricezione delle offerte — direttiva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generale</w:t>
            </w:r>
          </w:p>
        </w:tc>
        <w:tc>
          <w:tcPr>
            <w:tcW w:w="3118" w:type="dxa"/>
            <w:tcBorders>
              <w:top w:val="single" w:sz="4" w:space="0" w:color="000000"/>
              <w:left w:val="nil"/>
              <w:bottom w:val="single" w:sz="4" w:space="0" w:color="000000"/>
              <w:right w:val="single" w:sz="4" w:space="0" w:color="000000"/>
            </w:tcBorders>
            <w:shd w:val="clear" w:color="auto" w:fill="auto"/>
            <w:hideMark/>
          </w:tcPr>
          <w:p w14:paraId="631B686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27, paragrafo 2, della direttiva 2014/24/UE, Articolo 28,</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paragrafo 3, della direttiva 2014/24/UE</w:t>
            </w:r>
            <w:r w:rsidRPr="00CF5DD9">
              <w:rPr>
                <w:rFonts w:ascii="Arial" w:eastAsia="Times New Roman" w:hAnsi="Arial" w:cs="Arial"/>
                <w:kern w:val="0"/>
                <w:sz w:val="20"/>
                <w:szCs w:val="20"/>
                <w:lang w:eastAsia="it-IT"/>
              </w:rPr>
              <w:br/>
              <w:t>Articolo 81 comma 1 decretolegislativo 36/2023</w:t>
            </w:r>
          </w:p>
        </w:tc>
      </w:tr>
      <w:tr w:rsidR="00041B26" w:rsidRPr="00CF5DD9" w14:paraId="36A374EE" w14:textId="77777777" w:rsidTr="0093082B">
        <w:trPr>
          <w:trHeight w:val="1242"/>
        </w:trPr>
        <w:tc>
          <w:tcPr>
            <w:tcW w:w="1980" w:type="dxa"/>
            <w:tcBorders>
              <w:top w:val="nil"/>
              <w:left w:val="single" w:sz="4" w:space="0" w:color="000000"/>
              <w:bottom w:val="single" w:sz="4" w:space="0" w:color="000000"/>
              <w:right w:val="single" w:sz="4" w:space="0" w:color="000000"/>
            </w:tcBorders>
            <w:shd w:val="clear" w:color="auto" w:fill="auto"/>
            <w:hideMark/>
          </w:tcPr>
          <w:p w14:paraId="5AE1F17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speciali pari</w:t>
            </w:r>
            <w:r w:rsidRPr="00CF5DD9">
              <w:rPr>
                <w:rFonts w:ascii="Arial" w:eastAsia="Times New Roman" w:hAnsi="Arial" w:cs="Arial"/>
                <w:b/>
                <w:bCs/>
                <w:kern w:val="0"/>
                <w:sz w:val="20"/>
                <w:szCs w:val="20"/>
                <w:lang w:eastAsia="it-IT"/>
              </w:rPr>
              <w:br/>
              <w:t>/sopra soglia</w:t>
            </w:r>
          </w:p>
        </w:tc>
        <w:tc>
          <w:tcPr>
            <w:tcW w:w="992" w:type="dxa"/>
            <w:tcBorders>
              <w:top w:val="nil"/>
              <w:left w:val="nil"/>
              <w:bottom w:val="single" w:sz="4" w:space="0" w:color="000000"/>
              <w:right w:val="single" w:sz="4" w:space="0" w:color="000000"/>
            </w:tcBorders>
            <w:shd w:val="clear" w:color="auto" w:fill="auto"/>
            <w:hideMark/>
          </w:tcPr>
          <w:p w14:paraId="28F981E8"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P1.8</w:t>
            </w:r>
          </w:p>
        </w:tc>
        <w:tc>
          <w:tcPr>
            <w:tcW w:w="3544" w:type="dxa"/>
            <w:tcBorders>
              <w:top w:val="nil"/>
              <w:left w:val="nil"/>
              <w:bottom w:val="single" w:sz="4" w:space="0" w:color="000000"/>
              <w:right w:val="single" w:sz="4" w:space="0" w:color="000000"/>
            </w:tcBorders>
            <w:shd w:val="clear" w:color="auto" w:fill="auto"/>
            <w:hideMark/>
          </w:tcPr>
          <w:p w14:paraId="06F957AF" w14:textId="77777777" w:rsidR="00CF5DD9" w:rsidRPr="00CF5DD9" w:rsidRDefault="00CF5DD9" w:rsidP="00CF5DD9">
            <w:pPr>
              <w:jc w:val="cente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Avviso di preinformazione utilizzato per abbreviare 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termini per la ricezione delle offerte — direttiva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settoriale</w:t>
            </w:r>
          </w:p>
        </w:tc>
        <w:tc>
          <w:tcPr>
            <w:tcW w:w="3118" w:type="dxa"/>
            <w:tcBorders>
              <w:top w:val="single" w:sz="4" w:space="0" w:color="000000"/>
              <w:left w:val="nil"/>
              <w:bottom w:val="single" w:sz="4" w:space="0" w:color="000000"/>
              <w:right w:val="single" w:sz="4" w:space="0" w:color="000000"/>
            </w:tcBorders>
            <w:shd w:val="clear" w:color="auto" w:fill="auto"/>
            <w:hideMark/>
          </w:tcPr>
          <w:p w14:paraId="26A5831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45, paragrafo 2, della direttiva 2014/25/UE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153 decreto legislativo 36/2023</w:t>
            </w:r>
            <w:r w:rsidRPr="00CF5DD9">
              <w:rPr>
                <w:rFonts w:ascii="Arial" w:eastAsia="Times New Roman" w:hAnsi="Arial" w:cs="Arial"/>
                <w:kern w:val="0"/>
                <w:sz w:val="20"/>
                <w:szCs w:val="20"/>
                <w:lang w:eastAsia="it-IT"/>
              </w:rPr>
              <w:br/>
              <w:t>Articolo 161 comma 2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164 decreto legislativo 36/2023</w:t>
            </w:r>
          </w:p>
        </w:tc>
      </w:tr>
      <w:tr w:rsidR="00041B26" w:rsidRPr="00CF5DD9" w14:paraId="3FEF5752" w14:textId="77777777" w:rsidTr="0093082B">
        <w:trPr>
          <w:trHeight w:val="1099"/>
        </w:trPr>
        <w:tc>
          <w:tcPr>
            <w:tcW w:w="1980" w:type="dxa"/>
            <w:tcBorders>
              <w:top w:val="nil"/>
              <w:left w:val="single" w:sz="4" w:space="0" w:color="000000"/>
              <w:bottom w:val="single" w:sz="4" w:space="0" w:color="000000"/>
              <w:right w:val="single" w:sz="4" w:space="0" w:color="000000"/>
            </w:tcBorders>
            <w:shd w:val="clear" w:color="auto" w:fill="auto"/>
            <w:hideMark/>
          </w:tcPr>
          <w:p w14:paraId="37C9AB4C"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settore difesa 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sicurezza pari /sopra soglia</w:t>
            </w:r>
          </w:p>
        </w:tc>
        <w:tc>
          <w:tcPr>
            <w:tcW w:w="992" w:type="dxa"/>
            <w:tcBorders>
              <w:top w:val="nil"/>
              <w:left w:val="nil"/>
              <w:bottom w:val="single" w:sz="4" w:space="0" w:color="000000"/>
              <w:right w:val="single" w:sz="4" w:space="0" w:color="000000"/>
            </w:tcBorders>
            <w:shd w:val="clear" w:color="auto" w:fill="auto"/>
            <w:hideMark/>
          </w:tcPr>
          <w:p w14:paraId="4EBD5E79"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P1.9</w:t>
            </w:r>
          </w:p>
        </w:tc>
        <w:tc>
          <w:tcPr>
            <w:tcW w:w="3544" w:type="dxa"/>
            <w:tcBorders>
              <w:top w:val="nil"/>
              <w:left w:val="nil"/>
              <w:bottom w:val="single" w:sz="4" w:space="0" w:color="000000"/>
              <w:right w:val="single" w:sz="4" w:space="0" w:color="000000"/>
            </w:tcBorders>
            <w:shd w:val="clear" w:color="auto" w:fill="auto"/>
            <w:hideMark/>
          </w:tcPr>
          <w:p w14:paraId="51DE15F5" w14:textId="77777777" w:rsidR="00CF5DD9" w:rsidRPr="00CF5DD9" w:rsidRDefault="00CF5DD9" w:rsidP="00CF5DD9">
            <w:pPr>
              <w:jc w:val="cente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Avviso di preinformazione utilizzato per abbreviare 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termini per la ricezione delle offerte — direttiva per</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il settore della difesa</w:t>
            </w:r>
          </w:p>
        </w:tc>
        <w:tc>
          <w:tcPr>
            <w:tcW w:w="3118" w:type="dxa"/>
            <w:tcBorders>
              <w:top w:val="single" w:sz="4" w:space="0" w:color="000000"/>
              <w:left w:val="nil"/>
              <w:bottom w:val="single" w:sz="4" w:space="0" w:color="000000"/>
              <w:right w:val="single" w:sz="4" w:space="0" w:color="000000"/>
            </w:tcBorders>
            <w:shd w:val="clear" w:color="auto" w:fill="auto"/>
            <w:hideMark/>
          </w:tcPr>
          <w:p w14:paraId="4FFD353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33, paragrafo 3, della direttiva 2009/81/CE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21 comma 4 decretolegislativo 208/2011</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81 comma 1 decreto legislativo 36/2023</w:t>
            </w:r>
          </w:p>
        </w:tc>
      </w:tr>
      <w:tr w:rsidR="00041B26" w:rsidRPr="00CF5DD9" w14:paraId="5BEA2D4A"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5BF5C48C"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ordinari pari</w:t>
            </w:r>
            <w:r w:rsidRPr="00CF5DD9">
              <w:rPr>
                <w:rFonts w:ascii="Arial" w:eastAsia="Times New Roman" w:hAnsi="Arial" w:cs="Arial"/>
                <w:b/>
                <w:bCs/>
                <w:kern w:val="0"/>
                <w:sz w:val="20"/>
                <w:szCs w:val="20"/>
                <w:lang w:eastAsia="it-IT"/>
              </w:rPr>
              <w:br/>
              <w:t>/sopra soglia</w:t>
            </w:r>
          </w:p>
        </w:tc>
        <w:tc>
          <w:tcPr>
            <w:tcW w:w="992" w:type="dxa"/>
            <w:tcBorders>
              <w:top w:val="nil"/>
              <w:left w:val="nil"/>
              <w:bottom w:val="single" w:sz="4" w:space="0" w:color="000000"/>
              <w:right w:val="single" w:sz="4" w:space="0" w:color="000000"/>
            </w:tcBorders>
            <w:shd w:val="clear" w:color="auto" w:fill="auto"/>
            <w:hideMark/>
          </w:tcPr>
          <w:p w14:paraId="7E820DF1"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P1.10</w:t>
            </w:r>
          </w:p>
        </w:tc>
        <w:tc>
          <w:tcPr>
            <w:tcW w:w="3544" w:type="dxa"/>
            <w:tcBorders>
              <w:top w:val="nil"/>
              <w:left w:val="nil"/>
              <w:bottom w:val="single" w:sz="4" w:space="0" w:color="000000"/>
              <w:right w:val="single" w:sz="4" w:space="0" w:color="000000"/>
            </w:tcBorders>
            <w:shd w:val="clear" w:color="auto" w:fill="auto"/>
            <w:hideMark/>
          </w:tcPr>
          <w:p w14:paraId="5E5DC3A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Avviso di preinformazione utilizzato come avviso di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indizione di gara — direttiva generale, regime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4E277CC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48, paragrafo 2, della direttiva 2014/24/UE Articolo 81</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comma 2 decreto legislativo 36/2023</w:t>
            </w:r>
          </w:p>
        </w:tc>
      </w:tr>
      <w:tr w:rsidR="00041B26" w:rsidRPr="00CF5DD9" w14:paraId="11CB1B00" w14:textId="77777777" w:rsidTr="0093082B">
        <w:trPr>
          <w:trHeight w:val="1159"/>
        </w:trPr>
        <w:tc>
          <w:tcPr>
            <w:tcW w:w="1980" w:type="dxa"/>
            <w:tcBorders>
              <w:top w:val="nil"/>
              <w:left w:val="single" w:sz="4" w:space="0" w:color="000000"/>
              <w:bottom w:val="single" w:sz="4" w:space="0" w:color="000000"/>
              <w:right w:val="single" w:sz="4" w:space="0" w:color="000000"/>
            </w:tcBorders>
            <w:shd w:val="clear" w:color="auto" w:fill="auto"/>
            <w:hideMark/>
          </w:tcPr>
          <w:p w14:paraId="41D851A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speciali pari</w:t>
            </w:r>
            <w:r w:rsidRPr="00CF5DD9">
              <w:rPr>
                <w:rFonts w:ascii="Arial" w:eastAsia="Times New Roman" w:hAnsi="Arial" w:cs="Arial"/>
                <w:b/>
                <w:bCs/>
                <w:kern w:val="0"/>
                <w:sz w:val="20"/>
                <w:szCs w:val="20"/>
                <w:lang w:eastAsia="it-IT"/>
              </w:rPr>
              <w:br/>
              <w:t>/sopra soglia</w:t>
            </w:r>
          </w:p>
        </w:tc>
        <w:tc>
          <w:tcPr>
            <w:tcW w:w="992" w:type="dxa"/>
            <w:tcBorders>
              <w:top w:val="nil"/>
              <w:left w:val="nil"/>
              <w:bottom w:val="single" w:sz="4" w:space="0" w:color="000000"/>
              <w:right w:val="single" w:sz="4" w:space="0" w:color="000000"/>
            </w:tcBorders>
            <w:shd w:val="clear" w:color="auto" w:fill="auto"/>
            <w:hideMark/>
          </w:tcPr>
          <w:p w14:paraId="22C1C22C"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P1.11</w:t>
            </w:r>
          </w:p>
        </w:tc>
        <w:tc>
          <w:tcPr>
            <w:tcW w:w="3544" w:type="dxa"/>
            <w:tcBorders>
              <w:top w:val="nil"/>
              <w:left w:val="nil"/>
              <w:bottom w:val="single" w:sz="4" w:space="0" w:color="000000"/>
              <w:right w:val="single" w:sz="4" w:space="0" w:color="000000"/>
            </w:tcBorders>
            <w:shd w:val="clear" w:color="auto" w:fill="auto"/>
            <w:hideMark/>
          </w:tcPr>
          <w:p w14:paraId="7E42DC8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Avviso periodico indicativo utilizzato come avviso</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di indizione di gara — direttiva settoriale, regime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661369B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67, paragrafo 2, della direttiva 2014/25/UE Articolo 155</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comma 3 decreto legislativo 36/2023</w:t>
            </w:r>
            <w:r w:rsidRPr="00CF5DD9">
              <w:rPr>
                <w:rFonts w:ascii="Arial" w:eastAsia="Times New Roman" w:hAnsi="Arial" w:cs="Arial"/>
                <w:kern w:val="0"/>
                <w:sz w:val="20"/>
                <w:szCs w:val="20"/>
                <w:lang w:eastAsia="it-IT"/>
              </w:rPr>
              <w:br/>
              <w:t>Articolo 161 comma 2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164 decreto legislativo 36/2023</w:t>
            </w:r>
          </w:p>
        </w:tc>
      </w:tr>
      <w:tr w:rsidR="00041B26" w:rsidRPr="00CF5DD9" w14:paraId="51025C37" w14:textId="77777777" w:rsidTr="0093082B">
        <w:trPr>
          <w:trHeight w:val="822"/>
        </w:trPr>
        <w:tc>
          <w:tcPr>
            <w:tcW w:w="1980" w:type="dxa"/>
            <w:tcBorders>
              <w:top w:val="nil"/>
              <w:left w:val="single" w:sz="4" w:space="0" w:color="000000"/>
              <w:bottom w:val="single" w:sz="4" w:space="0" w:color="000000"/>
              <w:right w:val="single" w:sz="4" w:space="0" w:color="000000"/>
            </w:tcBorders>
            <w:shd w:val="clear" w:color="auto" w:fill="auto"/>
            <w:hideMark/>
          </w:tcPr>
          <w:p w14:paraId="37D78519"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e procedure</w:t>
            </w:r>
          </w:p>
        </w:tc>
        <w:tc>
          <w:tcPr>
            <w:tcW w:w="992" w:type="dxa"/>
            <w:tcBorders>
              <w:top w:val="nil"/>
              <w:left w:val="nil"/>
              <w:bottom w:val="single" w:sz="4" w:space="0" w:color="000000"/>
              <w:right w:val="single" w:sz="4" w:space="0" w:color="000000"/>
            </w:tcBorders>
            <w:shd w:val="clear" w:color="auto" w:fill="auto"/>
            <w:hideMark/>
          </w:tcPr>
          <w:p w14:paraId="6219EF7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Scheda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art. 23</w:t>
            </w:r>
          </w:p>
        </w:tc>
        <w:tc>
          <w:tcPr>
            <w:tcW w:w="3544" w:type="dxa"/>
            <w:tcBorders>
              <w:top w:val="nil"/>
              <w:left w:val="nil"/>
              <w:bottom w:val="single" w:sz="4" w:space="0" w:color="000000"/>
              <w:right w:val="single" w:sz="4" w:space="0" w:color="000000"/>
            </w:tcBorders>
            <w:shd w:val="clear" w:color="auto" w:fill="auto"/>
            <w:hideMark/>
          </w:tcPr>
          <w:p w14:paraId="18048AD7"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Descrizione del contenuto dei dati</w:t>
            </w:r>
          </w:p>
        </w:tc>
        <w:tc>
          <w:tcPr>
            <w:tcW w:w="3118" w:type="dxa"/>
            <w:tcBorders>
              <w:top w:val="single" w:sz="4" w:space="0" w:color="000000"/>
              <w:left w:val="nil"/>
              <w:bottom w:val="single" w:sz="4" w:space="0" w:color="000000"/>
              <w:right w:val="single" w:sz="4" w:space="0" w:color="000000"/>
            </w:tcBorders>
            <w:shd w:val="clear" w:color="auto" w:fill="auto"/>
            <w:hideMark/>
          </w:tcPr>
          <w:p w14:paraId="014F0F15"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Riferimento normativo</w:t>
            </w:r>
          </w:p>
        </w:tc>
      </w:tr>
      <w:tr w:rsidR="00041B26" w:rsidRPr="00CF5DD9" w14:paraId="68385DFB" w14:textId="77777777" w:rsidTr="0093082B">
        <w:trPr>
          <w:trHeight w:val="960"/>
        </w:trPr>
        <w:tc>
          <w:tcPr>
            <w:tcW w:w="1980" w:type="dxa"/>
            <w:tcBorders>
              <w:top w:val="nil"/>
              <w:left w:val="single" w:sz="4" w:space="0" w:color="000000"/>
              <w:bottom w:val="single" w:sz="4" w:space="0" w:color="000000"/>
              <w:right w:val="single" w:sz="4" w:space="0" w:color="000000"/>
            </w:tcBorders>
            <w:shd w:val="clear" w:color="auto" w:fill="auto"/>
            <w:hideMark/>
          </w:tcPr>
          <w:p w14:paraId="62987DAD"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ordinari pari</w:t>
            </w:r>
            <w:r w:rsidRPr="00CF5DD9">
              <w:rPr>
                <w:rFonts w:ascii="Arial" w:eastAsia="Times New Roman" w:hAnsi="Arial" w:cs="Arial"/>
                <w:b/>
                <w:bCs/>
                <w:kern w:val="0"/>
                <w:sz w:val="20"/>
                <w:szCs w:val="20"/>
                <w:lang w:eastAsia="it-IT"/>
              </w:rPr>
              <w:br/>
              <w:t>/sopra soglia regime alleggerito</w:t>
            </w:r>
          </w:p>
        </w:tc>
        <w:tc>
          <w:tcPr>
            <w:tcW w:w="992" w:type="dxa"/>
            <w:tcBorders>
              <w:top w:val="nil"/>
              <w:left w:val="nil"/>
              <w:bottom w:val="single" w:sz="4" w:space="0" w:color="000000"/>
              <w:right w:val="single" w:sz="4" w:space="0" w:color="000000"/>
            </w:tcBorders>
            <w:shd w:val="clear" w:color="auto" w:fill="auto"/>
            <w:hideMark/>
          </w:tcPr>
          <w:p w14:paraId="0F1A3708"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P1.12</w:t>
            </w:r>
          </w:p>
        </w:tc>
        <w:tc>
          <w:tcPr>
            <w:tcW w:w="3544" w:type="dxa"/>
            <w:tcBorders>
              <w:top w:val="nil"/>
              <w:left w:val="nil"/>
              <w:bottom w:val="single" w:sz="4" w:space="0" w:color="000000"/>
              <w:right w:val="single" w:sz="4" w:space="0" w:color="000000"/>
            </w:tcBorders>
            <w:shd w:val="clear" w:color="auto" w:fill="auto"/>
            <w:hideMark/>
          </w:tcPr>
          <w:p w14:paraId="7BBDF7EF"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preinformazione utilizzato come avviso di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indizione di gara — direttiva generale, regime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41DD775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75, paragrafo 1, lettera b), della direttiva 2014/24/UE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127 comma 1 lettera b) decreto legislativo 36/2023</w:t>
            </w:r>
          </w:p>
        </w:tc>
      </w:tr>
      <w:tr w:rsidR="00041B26" w:rsidRPr="00CF5DD9" w14:paraId="05E57D36" w14:textId="77777777" w:rsidTr="0093082B">
        <w:trPr>
          <w:trHeight w:val="942"/>
        </w:trPr>
        <w:tc>
          <w:tcPr>
            <w:tcW w:w="1980" w:type="dxa"/>
            <w:tcBorders>
              <w:top w:val="nil"/>
              <w:left w:val="single" w:sz="4" w:space="0" w:color="000000"/>
              <w:bottom w:val="single" w:sz="4" w:space="0" w:color="000000"/>
              <w:right w:val="single" w:sz="4" w:space="0" w:color="000000"/>
            </w:tcBorders>
            <w:shd w:val="clear" w:color="auto" w:fill="auto"/>
            <w:hideMark/>
          </w:tcPr>
          <w:p w14:paraId="557A5F6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speciali pari</w:t>
            </w:r>
            <w:r w:rsidRPr="00CF5DD9">
              <w:rPr>
                <w:rFonts w:ascii="Arial" w:eastAsia="Times New Roman" w:hAnsi="Arial" w:cs="Arial"/>
                <w:b/>
                <w:bCs/>
                <w:kern w:val="0"/>
                <w:sz w:val="20"/>
                <w:szCs w:val="20"/>
                <w:lang w:eastAsia="it-IT"/>
              </w:rPr>
              <w:br/>
              <w:t>/sopra soglia regime alleggerito</w:t>
            </w:r>
          </w:p>
        </w:tc>
        <w:tc>
          <w:tcPr>
            <w:tcW w:w="992" w:type="dxa"/>
            <w:tcBorders>
              <w:top w:val="nil"/>
              <w:left w:val="nil"/>
              <w:bottom w:val="single" w:sz="4" w:space="0" w:color="000000"/>
              <w:right w:val="single" w:sz="4" w:space="0" w:color="000000"/>
            </w:tcBorders>
            <w:shd w:val="clear" w:color="auto" w:fill="auto"/>
            <w:hideMark/>
          </w:tcPr>
          <w:p w14:paraId="52AB61AA"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P1.13</w:t>
            </w:r>
          </w:p>
        </w:tc>
        <w:tc>
          <w:tcPr>
            <w:tcW w:w="3544" w:type="dxa"/>
            <w:tcBorders>
              <w:top w:val="nil"/>
              <w:left w:val="nil"/>
              <w:bottom w:val="single" w:sz="4" w:space="0" w:color="000000"/>
              <w:right w:val="single" w:sz="4" w:space="0" w:color="000000"/>
            </w:tcBorders>
            <w:shd w:val="clear" w:color="auto" w:fill="auto"/>
            <w:hideMark/>
          </w:tcPr>
          <w:p w14:paraId="13CE8FC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Bando periodico indicativo utilizzato come avviso di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indizione di gara — direttiva settoriale, regime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766E70AC"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92, paragrafo 1, lettera b), della direttiva 2014/25/UE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173 decreto legislativo 36/2023</w:t>
            </w:r>
            <w:r w:rsidRPr="00CF5DD9">
              <w:rPr>
                <w:rFonts w:ascii="Arial" w:eastAsia="Times New Roman" w:hAnsi="Arial" w:cs="Arial"/>
                <w:kern w:val="0"/>
                <w:sz w:val="20"/>
                <w:szCs w:val="20"/>
                <w:lang w:eastAsia="it-IT"/>
              </w:rPr>
              <w:br/>
              <w:t>Articolo 127 comma 4 deceto legislativo 36/2023</w:t>
            </w:r>
          </w:p>
        </w:tc>
      </w:tr>
      <w:tr w:rsidR="00041B26" w:rsidRPr="00CF5DD9" w14:paraId="5996818A" w14:textId="77777777" w:rsidTr="0093082B">
        <w:trPr>
          <w:trHeight w:val="979"/>
        </w:trPr>
        <w:tc>
          <w:tcPr>
            <w:tcW w:w="1980" w:type="dxa"/>
            <w:tcBorders>
              <w:top w:val="nil"/>
              <w:left w:val="single" w:sz="4" w:space="0" w:color="000000"/>
              <w:bottom w:val="single" w:sz="4" w:space="0" w:color="000000"/>
              <w:right w:val="single" w:sz="4" w:space="0" w:color="000000"/>
            </w:tcBorders>
            <w:shd w:val="clear" w:color="auto" w:fill="auto"/>
            <w:hideMark/>
          </w:tcPr>
          <w:p w14:paraId="50012482"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concessioni pari /sopra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regime alleggerito</w:t>
            </w:r>
          </w:p>
        </w:tc>
        <w:tc>
          <w:tcPr>
            <w:tcW w:w="992" w:type="dxa"/>
            <w:tcBorders>
              <w:top w:val="nil"/>
              <w:left w:val="nil"/>
              <w:bottom w:val="single" w:sz="4" w:space="0" w:color="000000"/>
              <w:right w:val="single" w:sz="4" w:space="0" w:color="000000"/>
            </w:tcBorders>
            <w:shd w:val="clear" w:color="auto" w:fill="auto"/>
            <w:hideMark/>
          </w:tcPr>
          <w:p w14:paraId="56E2694A"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P1.14</w:t>
            </w:r>
          </w:p>
        </w:tc>
        <w:tc>
          <w:tcPr>
            <w:tcW w:w="3544" w:type="dxa"/>
            <w:tcBorders>
              <w:top w:val="nil"/>
              <w:left w:val="nil"/>
              <w:bottom w:val="single" w:sz="4" w:space="0" w:color="000000"/>
              <w:right w:val="single" w:sz="4" w:space="0" w:color="000000"/>
            </w:tcBorders>
            <w:shd w:val="clear" w:color="auto" w:fill="auto"/>
            <w:hideMark/>
          </w:tcPr>
          <w:p w14:paraId="46EE2276"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preinformazione utilizzato come avviso di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indizione di gara — direttiva sulle concessioni,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regime 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38ACD5E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31, paragrafo 3, della direttiva 2014/23/UE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182.comma 6 decreto legislativo 36/2023</w:t>
            </w:r>
          </w:p>
        </w:tc>
      </w:tr>
      <w:tr w:rsidR="00041B26" w:rsidRPr="00CF5DD9" w14:paraId="685B4B66" w14:textId="77777777" w:rsidTr="0093082B">
        <w:trPr>
          <w:trHeight w:val="900"/>
        </w:trPr>
        <w:tc>
          <w:tcPr>
            <w:tcW w:w="1980" w:type="dxa"/>
            <w:tcBorders>
              <w:top w:val="nil"/>
              <w:left w:val="single" w:sz="4" w:space="0" w:color="000000"/>
              <w:bottom w:val="single" w:sz="4" w:space="0" w:color="000000"/>
              <w:right w:val="single" w:sz="4" w:space="0" w:color="000000"/>
            </w:tcBorders>
            <w:shd w:val="clear" w:color="auto" w:fill="auto"/>
            <w:hideMark/>
          </w:tcPr>
          <w:p w14:paraId="7DF472A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ordinari pari</w:t>
            </w:r>
            <w:r w:rsidRPr="00CF5DD9">
              <w:rPr>
                <w:rFonts w:ascii="Arial" w:eastAsia="Times New Roman" w:hAnsi="Arial" w:cs="Arial"/>
                <w:b/>
                <w:bCs/>
                <w:kern w:val="0"/>
                <w:sz w:val="20"/>
                <w:szCs w:val="20"/>
                <w:lang w:eastAsia="it-IT"/>
              </w:rPr>
              <w:br/>
              <w:t>/sopra soglia</w:t>
            </w:r>
          </w:p>
        </w:tc>
        <w:tc>
          <w:tcPr>
            <w:tcW w:w="992" w:type="dxa"/>
            <w:tcBorders>
              <w:top w:val="nil"/>
              <w:left w:val="nil"/>
              <w:bottom w:val="single" w:sz="4" w:space="0" w:color="000000"/>
              <w:right w:val="single" w:sz="4" w:space="0" w:color="000000"/>
            </w:tcBorders>
            <w:shd w:val="clear" w:color="auto" w:fill="auto"/>
            <w:hideMark/>
          </w:tcPr>
          <w:p w14:paraId="25E07E7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P1.16</w:t>
            </w:r>
          </w:p>
        </w:tc>
        <w:tc>
          <w:tcPr>
            <w:tcW w:w="3544" w:type="dxa"/>
            <w:tcBorders>
              <w:top w:val="nil"/>
              <w:left w:val="nil"/>
              <w:bottom w:val="single" w:sz="4" w:space="0" w:color="000000"/>
              <w:right w:val="single" w:sz="4" w:space="0" w:color="000000"/>
            </w:tcBorders>
            <w:shd w:val="clear" w:color="auto" w:fill="auto"/>
            <w:hideMark/>
          </w:tcPr>
          <w:p w14:paraId="30605B72"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Bando di gara — direttiva generale, regime 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7BA0F17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49 della direttiva 2014/24/UE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84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85 decreto legislativo 36/2023</w:t>
            </w:r>
          </w:p>
        </w:tc>
      </w:tr>
      <w:tr w:rsidR="00041B26" w:rsidRPr="00CF5DD9" w14:paraId="40AD096C" w14:textId="77777777" w:rsidTr="0093082B">
        <w:trPr>
          <w:trHeight w:val="1482"/>
        </w:trPr>
        <w:tc>
          <w:tcPr>
            <w:tcW w:w="1980" w:type="dxa"/>
            <w:tcBorders>
              <w:top w:val="nil"/>
              <w:left w:val="single" w:sz="4" w:space="0" w:color="000000"/>
              <w:bottom w:val="single" w:sz="4" w:space="0" w:color="000000"/>
              <w:right w:val="single" w:sz="4" w:space="0" w:color="000000"/>
            </w:tcBorders>
            <w:shd w:val="clear" w:color="auto" w:fill="auto"/>
            <w:hideMark/>
          </w:tcPr>
          <w:p w14:paraId="11686FAF"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lastRenderedPageBreak/>
              <w:t>appalti settori speciali pari</w:t>
            </w:r>
            <w:r w:rsidRPr="00CF5DD9">
              <w:rPr>
                <w:rFonts w:ascii="Arial" w:eastAsia="Times New Roman" w:hAnsi="Arial" w:cs="Arial"/>
                <w:b/>
                <w:bCs/>
                <w:kern w:val="0"/>
                <w:sz w:val="20"/>
                <w:szCs w:val="20"/>
                <w:lang w:eastAsia="it-IT"/>
              </w:rPr>
              <w:br/>
              <w:t>/sopra soglia</w:t>
            </w:r>
          </w:p>
        </w:tc>
        <w:tc>
          <w:tcPr>
            <w:tcW w:w="992" w:type="dxa"/>
            <w:tcBorders>
              <w:top w:val="nil"/>
              <w:left w:val="nil"/>
              <w:bottom w:val="single" w:sz="4" w:space="0" w:color="000000"/>
              <w:right w:val="single" w:sz="4" w:space="0" w:color="000000"/>
            </w:tcBorders>
            <w:shd w:val="clear" w:color="auto" w:fill="auto"/>
            <w:hideMark/>
          </w:tcPr>
          <w:p w14:paraId="6E914811"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P1.17</w:t>
            </w:r>
          </w:p>
        </w:tc>
        <w:tc>
          <w:tcPr>
            <w:tcW w:w="3544" w:type="dxa"/>
            <w:tcBorders>
              <w:top w:val="nil"/>
              <w:left w:val="nil"/>
              <w:bottom w:val="single" w:sz="4" w:space="0" w:color="000000"/>
              <w:right w:val="single" w:sz="4" w:space="0" w:color="000000"/>
            </w:tcBorders>
            <w:shd w:val="clear" w:color="auto" w:fill="auto"/>
            <w:hideMark/>
          </w:tcPr>
          <w:p w14:paraId="5686968E"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Bando di gara — direttiva settoriale, regime 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044AB276"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69 della direttiva 2014/25/UE</w:t>
            </w:r>
            <w:r w:rsidRPr="00CF5DD9">
              <w:rPr>
                <w:rFonts w:ascii="Arial" w:eastAsia="Times New Roman" w:hAnsi="Arial" w:cs="Arial"/>
                <w:kern w:val="0"/>
                <w:sz w:val="20"/>
                <w:szCs w:val="20"/>
                <w:lang w:eastAsia="it-IT"/>
              </w:rPr>
              <w:br/>
              <w:t>Articolo 155 comma 3 lettera c)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163 decreto legislativo 36/2023</w:t>
            </w:r>
            <w:r w:rsidRPr="00CF5DD9">
              <w:rPr>
                <w:rFonts w:ascii="Arial" w:eastAsia="Times New Roman" w:hAnsi="Arial" w:cs="Arial"/>
                <w:kern w:val="0"/>
                <w:sz w:val="20"/>
                <w:szCs w:val="20"/>
                <w:lang w:eastAsia="it-IT"/>
              </w:rPr>
              <w:br/>
              <w:t>Articolo 164 decreto legislativo 36/2023</w:t>
            </w:r>
          </w:p>
        </w:tc>
      </w:tr>
      <w:tr w:rsidR="00041B26" w:rsidRPr="00CF5DD9" w14:paraId="06DCDCA1" w14:textId="77777777" w:rsidTr="0093082B">
        <w:trPr>
          <w:trHeight w:val="1219"/>
        </w:trPr>
        <w:tc>
          <w:tcPr>
            <w:tcW w:w="1980" w:type="dxa"/>
            <w:tcBorders>
              <w:top w:val="nil"/>
              <w:left w:val="single" w:sz="4" w:space="0" w:color="000000"/>
              <w:bottom w:val="single" w:sz="4" w:space="0" w:color="000000"/>
              <w:right w:val="single" w:sz="4" w:space="0" w:color="000000"/>
            </w:tcBorders>
            <w:shd w:val="clear" w:color="auto" w:fill="auto"/>
            <w:hideMark/>
          </w:tcPr>
          <w:p w14:paraId="494F42AF"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settore difesa 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sicurezza pari /sopra soglia</w:t>
            </w:r>
          </w:p>
        </w:tc>
        <w:tc>
          <w:tcPr>
            <w:tcW w:w="992" w:type="dxa"/>
            <w:tcBorders>
              <w:top w:val="nil"/>
              <w:left w:val="nil"/>
              <w:bottom w:val="single" w:sz="4" w:space="0" w:color="000000"/>
              <w:right w:val="single" w:sz="4" w:space="0" w:color="000000"/>
            </w:tcBorders>
            <w:shd w:val="clear" w:color="auto" w:fill="auto"/>
            <w:hideMark/>
          </w:tcPr>
          <w:p w14:paraId="00BE143C"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P1.18</w:t>
            </w:r>
          </w:p>
        </w:tc>
        <w:tc>
          <w:tcPr>
            <w:tcW w:w="3544" w:type="dxa"/>
            <w:tcBorders>
              <w:top w:val="nil"/>
              <w:left w:val="nil"/>
              <w:bottom w:val="single" w:sz="4" w:space="0" w:color="000000"/>
              <w:right w:val="single" w:sz="4" w:space="0" w:color="000000"/>
            </w:tcBorders>
            <w:shd w:val="clear" w:color="auto" w:fill="auto"/>
            <w:hideMark/>
          </w:tcPr>
          <w:p w14:paraId="171B016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Bando di gara — direttiva per il settore della difesa,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regime 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0211FB2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30, paragrafo 2, della direttiva 2009/81/CE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22 decreto legislativo 208/2011</w:t>
            </w:r>
            <w:r w:rsidRPr="00CF5DD9">
              <w:rPr>
                <w:rFonts w:ascii="Arial" w:eastAsia="Times New Roman" w:hAnsi="Arial" w:cs="Arial"/>
                <w:kern w:val="0"/>
                <w:sz w:val="20"/>
                <w:szCs w:val="20"/>
                <w:lang w:eastAsia="it-IT"/>
              </w:rPr>
              <w:br/>
              <w:t>Articolo 84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85 decreto legislativo 36/2023</w:t>
            </w:r>
          </w:p>
        </w:tc>
      </w:tr>
      <w:tr w:rsidR="00041B26" w:rsidRPr="00CF5DD9" w14:paraId="04F6FA4C" w14:textId="77777777" w:rsidTr="0093082B">
        <w:trPr>
          <w:trHeight w:val="1039"/>
        </w:trPr>
        <w:tc>
          <w:tcPr>
            <w:tcW w:w="1980" w:type="dxa"/>
            <w:tcBorders>
              <w:top w:val="nil"/>
              <w:left w:val="single" w:sz="4" w:space="0" w:color="000000"/>
              <w:bottom w:val="single" w:sz="4" w:space="0" w:color="000000"/>
              <w:right w:val="single" w:sz="4" w:space="0" w:color="000000"/>
            </w:tcBorders>
            <w:shd w:val="clear" w:color="auto" w:fill="auto"/>
            <w:hideMark/>
          </w:tcPr>
          <w:p w14:paraId="6208B2F7"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concessioni pari/sopra soglia</w:t>
            </w:r>
          </w:p>
        </w:tc>
        <w:tc>
          <w:tcPr>
            <w:tcW w:w="992" w:type="dxa"/>
            <w:tcBorders>
              <w:top w:val="nil"/>
              <w:left w:val="nil"/>
              <w:bottom w:val="single" w:sz="4" w:space="0" w:color="000000"/>
              <w:right w:val="single" w:sz="4" w:space="0" w:color="000000"/>
            </w:tcBorders>
            <w:shd w:val="clear" w:color="auto" w:fill="auto"/>
            <w:hideMark/>
          </w:tcPr>
          <w:p w14:paraId="02C695D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P1.19</w:t>
            </w:r>
          </w:p>
        </w:tc>
        <w:tc>
          <w:tcPr>
            <w:tcW w:w="3544" w:type="dxa"/>
            <w:tcBorders>
              <w:top w:val="nil"/>
              <w:left w:val="nil"/>
              <w:bottom w:val="single" w:sz="4" w:space="0" w:color="000000"/>
              <w:right w:val="single" w:sz="4" w:space="0" w:color="000000"/>
            </w:tcBorders>
            <w:shd w:val="clear" w:color="auto" w:fill="auto"/>
            <w:hideMark/>
          </w:tcPr>
          <w:p w14:paraId="176EF91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Bando di concessione - direttiva sulle concessioni,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regime ordinario, PPP</w:t>
            </w:r>
          </w:p>
        </w:tc>
        <w:tc>
          <w:tcPr>
            <w:tcW w:w="3118" w:type="dxa"/>
            <w:tcBorders>
              <w:top w:val="single" w:sz="4" w:space="0" w:color="000000"/>
              <w:left w:val="nil"/>
              <w:bottom w:val="single" w:sz="4" w:space="0" w:color="000000"/>
              <w:right w:val="single" w:sz="4" w:space="0" w:color="000000"/>
            </w:tcBorders>
            <w:shd w:val="clear" w:color="auto" w:fill="auto"/>
            <w:hideMark/>
          </w:tcPr>
          <w:p w14:paraId="1757236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31, paragrafo 1, della direttiva 2014/23/UE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182 comma 11 primo periodo e comma 12 decreto</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legislativo 36/2023</w:t>
            </w:r>
          </w:p>
        </w:tc>
      </w:tr>
      <w:tr w:rsidR="00041B26" w:rsidRPr="00CF5DD9" w14:paraId="4924CCE6" w14:textId="77777777" w:rsidTr="0093082B">
        <w:trPr>
          <w:trHeight w:val="979"/>
        </w:trPr>
        <w:tc>
          <w:tcPr>
            <w:tcW w:w="1980" w:type="dxa"/>
            <w:tcBorders>
              <w:top w:val="nil"/>
              <w:left w:val="single" w:sz="4" w:space="0" w:color="000000"/>
              <w:bottom w:val="single" w:sz="4" w:space="0" w:color="000000"/>
              <w:right w:val="single" w:sz="4" w:space="0" w:color="000000"/>
            </w:tcBorders>
            <w:shd w:val="clear" w:color="auto" w:fill="auto"/>
            <w:hideMark/>
          </w:tcPr>
          <w:p w14:paraId="11ECE61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ordinari pari</w:t>
            </w:r>
            <w:r w:rsidRPr="00CF5DD9">
              <w:rPr>
                <w:rFonts w:ascii="Arial" w:eastAsia="Times New Roman" w:hAnsi="Arial" w:cs="Arial"/>
                <w:b/>
                <w:bCs/>
                <w:kern w:val="0"/>
                <w:sz w:val="20"/>
                <w:szCs w:val="20"/>
                <w:lang w:eastAsia="it-IT"/>
              </w:rPr>
              <w:br/>
              <w:t>/sopra soglia regime alleggerito</w:t>
            </w:r>
          </w:p>
        </w:tc>
        <w:tc>
          <w:tcPr>
            <w:tcW w:w="992" w:type="dxa"/>
            <w:tcBorders>
              <w:top w:val="nil"/>
              <w:left w:val="nil"/>
              <w:bottom w:val="single" w:sz="4" w:space="0" w:color="000000"/>
              <w:right w:val="single" w:sz="4" w:space="0" w:color="000000"/>
            </w:tcBorders>
            <w:shd w:val="clear" w:color="auto" w:fill="auto"/>
            <w:hideMark/>
          </w:tcPr>
          <w:p w14:paraId="4843C7D6"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P1.20</w:t>
            </w:r>
          </w:p>
        </w:tc>
        <w:tc>
          <w:tcPr>
            <w:tcW w:w="3544" w:type="dxa"/>
            <w:tcBorders>
              <w:top w:val="nil"/>
              <w:left w:val="nil"/>
              <w:bottom w:val="single" w:sz="4" w:space="0" w:color="000000"/>
              <w:right w:val="single" w:sz="4" w:space="0" w:color="000000"/>
            </w:tcBorders>
            <w:shd w:val="clear" w:color="auto" w:fill="auto"/>
            <w:hideMark/>
          </w:tcPr>
          <w:p w14:paraId="6B564185"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Bando di gara — direttiva generale, regime 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671C70E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75, paragrafo 1, lettera a), della direttiva 2014/24/UE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127 comma 1 lettera b) decreto legislativo 36/2023</w:t>
            </w:r>
          </w:p>
        </w:tc>
      </w:tr>
      <w:tr w:rsidR="00041B26" w:rsidRPr="00CF5DD9" w14:paraId="394B4167" w14:textId="77777777" w:rsidTr="0093082B">
        <w:trPr>
          <w:trHeight w:val="1122"/>
        </w:trPr>
        <w:tc>
          <w:tcPr>
            <w:tcW w:w="1980" w:type="dxa"/>
            <w:tcBorders>
              <w:top w:val="nil"/>
              <w:left w:val="single" w:sz="4" w:space="0" w:color="000000"/>
              <w:bottom w:val="single" w:sz="4" w:space="0" w:color="000000"/>
              <w:right w:val="single" w:sz="4" w:space="0" w:color="000000"/>
            </w:tcBorders>
            <w:shd w:val="clear" w:color="auto" w:fill="auto"/>
            <w:hideMark/>
          </w:tcPr>
          <w:p w14:paraId="23D5721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speciali pari</w:t>
            </w:r>
            <w:r w:rsidRPr="00CF5DD9">
              <w:rPr>
                <w:rFonts w:ascii="Arial" w:eastAsia="Times New Roman" w:hAnsi="Arial" w:cs="Arial"/>
                <w:b/>
                <w:bCs/>
                <w:kern w:val="0"/>
                <w:sz w:val="20"/>
                <w:szCs w:val="20"/>
                <w:lang w:eastAsia="it-IT"/>
              </w:rPr>
              <w:br/>
              <w:t>/sopra soglia regime alleggerito</w:t>
            </w:r>
          </w:p>
        </w:tc>
        <w:tc>
          <w:tcPr>
            <w:tcW w:w="992" w:type="dxa"/>
            <w:tcBorders>
              <w:top w:val="nil"/>
              <w:left w:val="nil"/>
              <w:bottom w:val="single" w:sz="4" w:space="0" w:color="000000"/>
              <w:right w:val="single" w:sz="4" w:space="0" w:color="000000"/>
            </w:tcBorders>
            <w:shd w:val="clear" w:color="auto" w:fill="auto"/>
            <w:hideMark/>
          </w:tcPr>
          <w:p w14:paraId="4E87A53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P1.21</w:t>
            </w:r>
          </w:p>
        </w:tc>
        <w:tc>
          <w:tcPr>
            <w:tcW w:w="3544" w:type="dxa"/>
            <w:tcBorders>
              <w:top w:val="nil"/>
              <w:left w:val="nil"/>
              <w:bottom w:val="single" w:sz="4" w:space="0" w:color="000000"/>
              <w:right w:val="single" w:sz="4" w:space="0" w:color="000000"/>
            </w:tcBorders>
            <w:shd w:val="clear" w:color="auto" w:fill="auto"/>
            <w:hideMark/>
          </w:tcPr>
          <w:p w14:paraId="44DA1149"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Avviso di gara — direttiva settoriale, regime 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7CD6035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92, paragrafo 1, lettera a),della direttiva 2014/25/UE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173 decreto legislativo 36/2023</w:t>
            </w:r>
            <w:r w:rsidRPr="00CF5DD9">
              <w:rPr>
                <w:rFonts w:ascii="Arial" w:eastAsia="Times New Roman" w:hAnsi="Arial" w:cs="Arial"/>
                <w:kern w:val="0"/>
                <w:sz w:val="20"/>
                <w:szCs w:val="20"/>
                <w:lang w:eastAsia="it-IT"/>
              </w:rPr>
              <w:br/>
              <w:t>Articolo 127 comma 4 deceto legislativo 36/2023</w:t>
            </w:r>
          </w:p>
        </w:tc>
      </w:tr>
      <w:tr w:rsidR="00041B26" w:rsidRPr="00CF5DD9" w14:paraId="02B8B7AF" w14:textId="77777777" w:rsidTr="0093082B">
        <w:trPr>
          <w:trHeight w:val="960"/>
        </w:trPr>
        <w:tc>
          <w:tcPr>
            <w:tcW w:w="1980" w:type="dxa"/>
            <w:tcBorders>
              <w:top w:val="nil"/>
              <w:left w:val="single" w:sz="4" w:space="0" w:color="000000"/>
              <w:bottom w:val="single" w:sz="4" w:space="0" w:color="000000"/>
              <w:right w:val="single" w:sz="4" w:space="0" w:color="000000"/>
            </w:tcBorders>
            <w:shd w:val="clear" w:color="auto" w:fill="auto"/>
            <w:hideMark/>
          </w:tcPr>
          <w:p w14:paraId="1718DEC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ordinari pari /sopra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soglia concorso progettazione</w:t>
            </w:r>
          </w:p>
        </w:tc>
        <w:tc>
          <w:tcPr>
            <w:tcW w:w="992" w:type="dxa"/>
            <w:tcBorders>
              <w:top w:val="nil"/>
              <w:left w:val="nil"/>
              <w:bottom w:val="single" w:sz="4" w:space="0" w:color="000000"/>
              <w:right w:val="single" w:sz="4" w:space="0" w:color="000000"/>
            </w:tcBorders>
            <w:shd w:val="clear" w:color="auto" w:fill="auto"/>
            <w:hideMark/>
          </w:tcPr>
          <w:p w14:paraId="3026D095"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P1.23</w:t>
            </w:r>
          </w:p>
        </w:tc>
        <w:tc>
          <w:tcPr>
            <w:tcW w:w="3544" w:type="dxa"/>
            <w:tcBorders>
              <w:top w:val="nil"/>
              <w:left w:val="nil"/>
              <w:bottom w:val="single" w:sz="4" w:space="0" w:color="000000"/>
              <w:right w:val="single" w:sz="4" w:space="0" w:color="000000"/>
            </w:tcBorders>
            <w:shd w:val="clear" w:color="auto" w:fill="auto"/>
            <w:hideMark/>
          </w:tcPr>
          <w:p w14:paraId="5C1CB3A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o bando di concorso di progettazione —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generale, progettazione</w:t>
            </w:r>
          </w:p>
        </w:tc>
        <w:tc>
          <w:tcPr>
            <w:tcW w:w="3118" w:type="dxa"/>
            <w:tcBorders>
              <w:top w:val="single" w:sz="4" w:space="0" w:color="000000"/>
              <w:left w:val="nil"/>
              <w:bottom w:val="single" w:sz="4" w:space="0" w:color="000000"/>
              <w:right w:val="single" w:sz="4" w:space="0" w:color="000000"/>
            </w:tcBorders>
            <w:shd w:val="clear" w:color="auto" w:fill="auto"/>
            <w:hideMark/>
          </w:tcPr>
          <w:p w14:paraId="5423F69D"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79, paragrafo 1, della direttiva 2014/24/UE Articolo 46</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decreto legislativo 36/2023</w:t>
            </w:r>
          </w:p>
        </w:tc>
      </w:tr>
      <w:tr w:rsidR="00041B26" w:rsidRPr="00CF5DD9" w14:paraId="351F2E9C" w14:textId="77777777" w:rsidTr="0093082B">
        <w:trPr>
          <w:trHeight w:val="960"/>
        </w:trPr>
        <w:tc>
          <w:tcPr>
            <w:tcW w:w="1980" w:type="dxa"/>
            <w:tcBorders>
              <w:top w:val="nil"/>
              <w:left w:val="single" w:sz="4" w:space="0" w:color="000000"/>
              <w:bottom w:val="single" w:sz="4" w:space="0" w:color="000000"/>
              <w:right w:val="single" w:sz="4" w:space="0" w:color="000000"/>
            </w:tcBorders>
            <w:shd w:val="clear" w:color="auto" w:fill="auto"/>
            <w:hideMark/>
          </w:tcPr>
          <w:p w14:paraId="036B757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speciali pari /sopra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soglia concorso progettazione</w:t>
            </w:r>
          </w:p>
        </w:tc>
        <w:tc>
          <w:tcPr>
            <w:tcW w:w="992" w:type="dxa"/>
            <w:tcBorders>
              <w:top w:val="nil"/>
              <w:left w:val="nil"/>
              <w:bottom w:val="single" w:sz="4" w:space="0" w:color="000000"/>
              <w:right w:val="single" w:sz="4" w:space="0" w:color="000000"/>
            </w:tcBorders>
            <w:shd w:val="clear" w:color="auto" w:fill="auto"/>
            <w:hideMark/>
          </w:tcPr>
          <w:p w14:paraId="4C86153F"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P1.24</w:t>
            </w:r>
          </w:p>
        </w:tc>
        <w:tc>
          <w:tcPr>
            <w:tcW w:w="3544" w:type="dxa"/>
            <w:tcBorders>
              <w:top w:val="nil"/>
              <w:left w:val="nil"/>
              <w:bottom w:val="single" w:sz="4" w:space="0" w:color="000000"/>
              <w:right w:val="single" w:sz="4" w:space="0" w:color="000000"/>
            </w:tcBorders>
            <w:shd w:val="clear" w:color="auto" w:fill="auto"/>
            <w:hideMark/>
          </w:tcPr>
          <w:p w14:paraId="4EE9F98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concorso di progettazione —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settoriale, progettazione</w:t>
            </w:r>
          </w:p>
        </w:tc>
        <w:tc>
          <w:tcPr>
            <w:tcW w:w="3118" w:type="dxa"/>
            <w:tcBorders>
              <w:top w:val="single" w:sz="4" w:space="0" w:color="000000"/>
              <w:left w:val="nil"/>
              <w:bottom w:val="single" w:sz="4" w:space="0" w:color="000000"/>
              <w:right w:val="single" w:sz="4" w:space="0" w:color="000000"/>
            </w:tcBorders>
            <w:shd w:val="clear" w:color="auto" w:fill="auto"/>
            <w:hideMark/>
          </w:tcPr>
          <w:p w14:paraId="01159C7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96, paragrafo 1, primo comma, della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2014/25/UE</w:t>
            </w:r>
            <w:r w:rsidRPr="00CF5DD9">
              <w:rPr>
                <w:rFonts w:ascii="Arial" w:eastAsia="Times New Roman" w:hAnsi="Arial" w:cs="Arial"/>
                <w:kern w:val="0"/>
                <w:sz w:val="20"/>
                <w:szCs w:val="20"/>
                <w:lang w:eastAsia="it-IT"/>
              </w:rPr>
              <w:br/>
              <w:t>Articolo 46 decreto legislativo 36/2023</w:t>
            </w:r>
          </w:p>
        </w:tc>
      </w:tr>
      <w:tr w:rsidR="00041B26" w:rsidRPr="00CF5DD9" w14:paraId="6FDA1D07" w14:textId="77777777" w:rsidTr="0093082B">
        <w:trPr>
          <w:trHeight w:val="822"/>
        </w:trPr>
        <w:tc>
          <w:tcPr>
            <w:tcW w:w="1980" w:type="dxa"/>
            <w:tcBorders>
              <w:top w:val="nil"/>
              <w:left w:val="single" w:sz="4" w:space="0" w:color="000000"/>
              <w:bottom w:val="single" w:sz="4" w:space="0" w:color="000000"/>
              <w:right w:val="single" w:sz="4" w:space="0" w:color="000000"/>
            </w:tcBorders>
            <w:shd w:val="clear" w:color="auto" w:fill="auto"/>
            <w:hideMark/>
          </w:tcPr>
          <w:p w14:paraId="084BD9D0"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e procedure</w:t>
            </w:r>
          </w:p>
        </w:tc>
        <w:tc>
          <w:tcPr>
            <w:tcW w:w="992" w:type="dxa"/>
            <w:tcBorders>
              <w:top w:val="nil"/>
              <w:left w:val="nil"/>
              <w:bottom w:val="single" w:sz="4" w:space="0" w:color="000000"/>
              <w:right w:val="single" w:sz="4" w:space="0" w:color="000000"/>
            </w:tcBorders>
            <w:shd w:val="clear" w:color="auto" w:fill="auto"/>
            <w:hideMark/>
          </w:tcPr>
          <w:p w14:paraId="60EFB5F2"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Scheda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art. 23</w:t>
            </w:r>
          </w:p>
        </w:tc>
        <w:tc>
          <w:tcPr>
            <w:tcW w:w="3544" w:type="dxa"/>
            <w:tcBorders>
              <w:top w:val="nil"/>
              <w:left w:val="nil"/>
              <w:bottom w:val="single" w:sz="4" w:space="0" w:color="000000"/>
              <w:right w:val="single" w:sz="4" w:space="0" w:color="000000"/>
            </w:tcBorders>
            <w:shd w:val="clear" w:color="auto" w:fill="auto"/>
            <w:hideMark/>
          </w:tcPr>
          <w:p w14:paraId="67240201"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Descrizione del contenuto dei dati</w:t>
            </w:r>
          </w:p>
        </w:tc>
        <w:tc>
          <w:tcPr>
            <w:tcW w:w="3118" w:type="dxa"/>
            <w:tcBorders>
              <w:top w:val="single" w:sz="4" w:space="0" w:color="000000"/>
              <w:left w:val="nil"/>
              <w:bottom w:val="single" w:sz="4" w:space="0" w:color="000000"/>
              <w:right w:val="single" w:sz="4" w:space="0" w:color="000000"/>
            </w:tcBorders>
            <w:shd w:val="clear" w:color="auto" w:fill="auto"/>
            <w:hideMark/>
          </w:tcPr>
          <w:p w14:paraId="6B6DD6E6"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Riferimento normativo</w:t>
            </w:r>
          </w:p>
        </w:tc>
      </w:tr>
      <w:tr w:rsidR="00CF5DD9" w:rsidRPr="00CF5DD9" w14:paraId="00D55C3A" w14:textId="77777777" w:rsidTr="0093082B">
        <w:trPr>
          <w:trHeight w:val="582"/>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D988FE7" w14:textId="77777777" w:rsidR="00CF5DD9" w:rsidRPr="00CF5DD9" w:rsidRDefault="00CF5DD9" w:rsidP="00CF5DD9">
            <w:pPr>
              <w:jc w:val="cente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PROCEDURE SOTTO SOGLIA</w:t>
            </w:r>
          </w:p>
        </w:tc>
      </w:tr>
      <w:tr w:rsidR="00041B26" w:rsidRPr="00CF5DD9" w14:paraId="70ED7CE8" w14:textId="77777777" w:rsidTr="0093082B">
        <w:trPr>
          <w:trHeight w:val="1062"/>
        </w:trPr>
        <w:tc>
          <w:tcPr>
            <w:tcW w:w="1980" w:type="dxa"/>
            <w:tcBorders>
              <w:top w:val="nil"/>
              <w:left w:val="single" w:sz="4" w:space="0" w:color="000000"/>
              <w:bottom w:val="single" w:sz="4" w:space="0" w:color="000000"/>
              <w:right w:val="single" w:sz="4" w:space="0" w:color="000000"/>
            </w:tcBorders>
            <w:shd w:val="clear" w:color="auto" w:fill="auto"/>
            <w:hideMark/>
          </w:tcPr>
          <w:p w14:paraId="143FBF3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ordinari sotto</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soglia</w:t>
            </w:r>
          </w:p>
        </w:tc>
        <w:tc>
          <w:tcPr>
            <w:tcW w:w="992" w:type="dxa"/>
            <w:tcBorders>
              <w:top w:val="nil"/>
              <w:left w:val="nil"/>
              <w:bottom w:val="single" w:sz="4" w:space="0" w:color="000000"/>
              <w:right w:val="single" w:sz="4" w:space="0" w:color="000000"/>
            </w:tcBorders>
            <w:shd w:val="clear" w:color="auto" w:fill="auto"/>
            <w:hideMark/>
          </w:tcPr>
          <w:p w14:paraId="6C985A6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P2.1</w:t>
            </w:r>
          </w:p>
        </w:tc>
        <w:tc>
          <w:tcPr>
            <w:tcW w:w="3544" w:type="dxa"/>
            <w:tcBorders>
              <w:top w:val="nil"/>
              <w:left w:val="nil"/>
              <w:bottom w:val="single" w:sz="4" w:space="0" w:color="000000"/>
              <w:right w:val="single" w:sz="4" w:space="0" w:color="000000"/>
            </w:tcBorders>
            <w:shd w:val="clear" w:color="auto" w:fill="auto"/>
            <w:hideMark/>
          </w:tcPr>
          <w:p w14:paraId="2BD1258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pubblicazione di un avviso di preinformazione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relativo al profilo di committente - settori ordinari</w:t>
            </w:r>
          </w:p>
        </w:tc>
        <w:tc>
          <w:tcPr>
            <w:tcW w:w="3118" w:type="dxa"/>
            <w:tcBorders>
              <w:top w:val="single" w:sz="4" w:space="0" w:color="000000"/>
              <w:left w:val="nil"/>
              <w:bottom w:val="single" w:sz="4" w:space="0" w:color="000000"/>
              <w:right w:val="single" w:sz="4" w:space="0" w:color="000000"/>
            </w:tcBorders>
            <w:shd w:val="clear" w:color="auto" w:fill="auto"/>
            <w:hideMark/>
          </w:tcPr>
          <w:p w14:paraId="119A8BAF"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decreto legislativo 36/2023</w:t>
            </w:r>
            <w:r w:rsidRPr="00CF5DD9">
              <w:rPr>
                <w:rFonts w:ascii="Arial" w:eastAsia="Times New Roman" w:hAnsi="Arial" w:cs="Arial"/>
                <w:kern w:val="0"/>
                <w:sz w:val="20"/>
                <w:szCs w:val="20"/>
                <w:lang w:eastAsia="it-IT"/>
              </w:rPr>
              <w:br/>
              <w:t>Articolo 81 comma 1 decreto legislativo 36/2023</w:t>
            </w:r>
          </w:p>
        </w:tc>
      </w:tr>
      <w:tr w:rsidR="00041B26" w:rsidRPr="00CF5DD9" w14:paraId="2785A732" w14:textId="77777777" w:rsidTr="0093082B">
        <w:trPr>
          <w:trHeight w:val="2382"/>
        </w:trPr>
        <w:tc>
          <w:tcPr>
            <w:tcW w:w="1980" w:type="dxa"/>
            <w:tcBorders>
              <w:top w:val="nil"/>
              <w:left w:val="single" w:sz="4" w:space="0" w:color="000000"/>
              <w:bottom w:val="single" w:sz="4" w:space="0" w:color="000000"/>
              <w:right w:val="single" w:sz="4" w:space="0" w:color="000000"/>
            </w:tcBorders>
            <w:shd w:val="clear" w:color="auto" w:fill="auto"/>
            <w:hideMark/>
          </w:tcPr>
          <w:p w14:paraId="61DDC34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speciali sotto</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soglia</w:t>
            </w:r>
          </w:p>
        </w:tc>
        <w:tc>
          <w:tcPr>
            <w:tcW w:w="992" w:type="dxa"/>
            <w:tcBorders>
              <w:top w:val="nil"/>
              <w:left w:val="nil"/>
              <w:bottom w:val="single" w:sz="4" w:space="0" w:color="000000"/>
              <w:right w:val="single" w:sz="4" w:space="0" w:color="000000"/>
            </w:tcBorders>
            <w:shd w:val="clear" w:color="auto" w:fill="auto"/>
            <w:hideMark/>
          </w:tcPr>
          <w:p w14:paraId="139A0D8F"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P2.2</w:t>
            </w:r>
          </w:p>
        </w:tc>
        <w:tc>
          <w:tcPr>
            <w:tcW w:w="3544" w:type="dxa"/>
            <w:tcBorders>
              <w:top w:val="nil"/>
              <w:left w:val="nil"/>
              <w:bottom w:val="single" w:sz="4" w:space="0" w:color="000000"/>
              <w:right w:val="single" w:sz="4" w:space="0" w:color="000000"/>
            </w:tcBorders>
            <w:shd w:val="clear" w:color="auto" w:fill="auto"/>
            <w:hideMark/>
          </w:tcPr>
          <w:p w14:paraId="1806DD5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pubblicazione di un avviso periodico indicativo</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relativo al profilo di committente - settori speciali</w:t>
            </w:r>
          </w:p>
        </w:tc>
        <w:tc>
          <w:tcPr>
            <w:tcW w:w="3118" w:type="dxa"/>
            <w:tcBorders>
              <w:top w:val="single" w:sz="4" w:space="0" w:color="000000"/>
              <w:left w:val="nil"/>
              <w:bottom w:val="single" w:sz="4" w:space="0" w:color="000000"/>
              <w:right w:val="single" w:sz="4" w:space="0" w:color="000000"/>
            </w:tcBorders>
            <w:shd w:val="clear" w:color="auto" w:fill="auto"/>
            <w:hideMark/>
          </w:tcPr>
          <w:p w14:paraId="5A66743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decreto legislativo 36/2023</w:t>
            </w:r>
            <w:r w:rsidRPr="00CF5DD9">
              <w:rPr>
                <w:rFonts w:ascii="Arial" w:eastAsia="Times New Roman" w:hAnsi="Arial" w:cs="Arial"/>
                <w:kern w:val="0"/>
                <w:sz w:val="20"/>
                <w:szCs w:val="20"/>
                <w:lang w:eastAsia="it-IT"/>
              </w:rPr>
              <w:br/>
              <w:t>Articolo 50 comma 5 decreto legislativo 36/2023</w:t>
            </w:r>
          </w:p>
        </w:tc>
      </w:tr>
      <w:tr w:rsidR="00041B26" w:rsidRPr="00CF5DD9" w14:paraId="0ACB135A" w14:textId="77777777" w:rsidTr="0093082B">
        <w:trPr>
          <w:trHeight w:val="1099"/>
        </w:trPr>
        <w:tc>
          <w:tcPr>
            <w:tcW w:w="1980" w:type="dxa"/>
            <w:tcBorders>
              <w:top w:val="nil"/>
              <w:left w:val="single" w:sz="4" w:space="0" w:color="000000"/>
              <w:bottom w:val="single" w:sz="4" w:space="0" w:color="000000"/>
              <w:right w:val="single" w:sz="4" w:space="0" w:color="000000"/>
            </w:tcBorders>
            <w:shd w:val="clear" w:color="auto" w:fill="auto"/>
            <w:hideMark/>
          </w:tcPr>
          <w:p w14:paraId="4D6BDFA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lastRenderedPageBreak/>
              <w:t>appalti settore difesa 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sicurezza sotto soglia</w:t>
            </w:r>
          </w:p>
        </w:tc>
        <w:tc>
          <w:tcPr>
            <w:tcW w:w="992" w:type="dxa"/>
            <w:tcBorders>
              <w:top w:val="nil"/>
              <w:left w:val="nil"/>
              <w:bottom w:val="single" w:sz="4" w:space="0" w:color="000000"/>
              <w:right w:val="single" w:sz="4" w:space="0" w:color="000000"/>
            </w:tcBorders>
            <w:shd w:val="clear" w:color="auto" w:fill="auto"/>
            <w:hideMark/>
          </w:tcPr>
          <w:p w14:paraId="3E6F4C14"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P2.3</w:t>
            </w:r>
          </w:p>
        </w:tc>
        <w:tc>
          <w:tcPr>
            <w:tcW w:w="3544" w:type="dxa"/>
            <w:tcBorders>
              <w:top w:val="nil"/>
              <w:left w:val="nil"/>
              <w:bottom w:val="single" w:sz="4" w:space="0" w:color="000000"/>
              <w:right w:val="single" w:sz="4" w:space="0" w:color="000000"/>
            </w:tcBorders>
            <w:shd w:val="clear" w:color="auto" w:fill="auto"/>
            <w:hideMark/>
          </w:tcPr>
          <w:p w14:paraId="4EC6694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pubblicazione di un avviso di preinformazione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relativo al profilo di committente —</w:t>
            </w:r>
            <w:r w:rsidRPr="00CF5DD9">
              <w:rPr>
                <w:rFonts w:ascii="Arial" w:eastAsia="Times New Roman" w:hAnsi="Arial" w:cs="Arial"/>
                <w:kern w:val="0"/>
                <w:sz w:val="20"/>
                <w:szCs w:val="20"/>
                <w:lang w:eastAsia="it-IT"/>
              </w:rPr>
              <w:br/>
              <w:t>direttiva per il settore della difesa</w:t>
            </w:r>
          </w:p>
        </w:tc>
        <w:tc>
          <w:tcPr>
            <w:tcW w:w="3118" w:type="dxa"/>
            <w:tcBorders>
              <w:top w:val="single" w:sz="4" w:space="0" w:color="000000"/>
              <w:left w:val="nil"/>
              <w:bottom w:val="single" w:sz="4" w:space="0" w:color="000000"/>
              <w:right w:val="single" w:sz="4" w:space="0" w:color="000000"/>
            </w:tcBorders>
            <w:shd w:val="clear" w:color="auto" w:fill="auto"/>
            <w:hideMark/>
          </w:tcPr>
          <w:p w14:paraId="2CC132E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31 decreto legislativo 208/2011</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50 decreto legislativo 36/2023</w:t>
            </w:r>
            <w:r w:rsidRPr="00CF5DD9">
              <w:rPr>
                <w:rFonts w:ascii="Arial" w:eastAsia="Times New Roman" w:hAnsi="Arial" w:cs="Arial"/>
                <w:kern w:val="0"/>
                <w:sz w:val="20"/>
                <w:szCs w:val="20"/>
                <w:lang w:eastAsia="it-IT"/>
              </w:rPr>
              <w:br/>
              <w:t>Articolo 81 comma 1 decreto legislativo 36/2023</w:t>
            </w:r>
          </w:p>
        </w:tc>
      </w:tr>
      <w:tr w:rsidR="00041B26" w:rsidRPr="00CF5DD9" w14:paraId="1B2E63C6" w14:textId="77777777" w:rsidTr="0093082B">
        <w:trPr>
          <w:trHeight w:val="1200"/>
        </w:trPr>
        <w:tc>
          <w:tcPr>
            <w:tcW w:w="1980" w:type="dxa"/>
            <w:tcBorders>
              <w:top w:val="nil"/>
              <w:left w:val="single" w:sz="4" w:space="0" w:color="000000"/>
              <w:bottom w:val="single" w:sz="4" w:space="0" w:color="000000"/>
              <w:right w:val="single" w:sz="4" w:space="0" w:color="000000"/>
            </w:tcBorders>
            <w:shd w:val="clear" w:color="auto" w:fill="auto"/>
            <w:hideMark/>
          </w:tcPr>
          <w:p w14:paraId="2BB21D1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ordinari sotto</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soglia</w:t>
            </w:r>
            <w:r w:rsidRPr="00CF5DD9">
              <w:rPr>
                <w:rFonts w:ascii="Arial" w:eastAsia="Times New Roman" w:hAnsi="Arial" w:cs="Arial"/>
                <w:b/>
                <w:bCs/>
                <w:kern w:val="0"/>
                <w:sz w:val="20"/>
                <w:szCs w:val="20"/>
                <w:lang w:eastAsia="it-IT"/>
              </w:rPr>
              <w:br/>
              <w:t>procedure ordinarie (solo per:</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1mln &lt;=L&lt; soglia)</w:t>
            </w:r>
          </w:p>
        </w:tc>
        <w:tc>
          <w:tcPr>
            <w:tcW w:w="992" w:type="dxa"/>
            <w:tcBorders>
              <w:top w:val="nil"/>
              <w:left w:val="nil"/>
              <w:bottom w:val="single" w:sz="4" w:space="0" w:color="000000"/>
              <w:right w:val="single" w:sz="4" w:space="0" w:color="000000"/>
            </w:tcBorders>
            <w:shd w:val="clear" w:color="auto" w:fill="auto"/>
            <w:hideMark/>
          </w:tcPr>
          <w:p w14:paraId="6B12DA7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P2.7</w:t>
            </w:r>
          </w:p>
        </w:tc>
        <w:tc>
          <w:tcPr>
            <w:tcW w:w="3544" w:type="dxa"/>
            <w:tcBorders>
              <w:top w:val="nil"/>
              <w:left w:val="nil"/>
              <w:bottom w:val="single" w:sz="4" w:space="0" w:color="000000"/>
              <w:right w:val="single" w:sz="4" w:space="0" w:color="000000"/>
            </w:tcBorders>
            <w:shd w:val="clear" w:color="auto" w:fill="auto"/>
            <w:hideMark/>
          </w:tcPr>
          <w:p w14:paraId="4D52E7C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preinformazione utilizzato per abbreviare 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termini per la ricezione delle offerte — direttiva generale</w:t>
            </w:r>
          </w:p>
        </w:tc>
        <w:tc>
          <w:tcPr>
            <w:tcW w:w="3118" w:type="dxa"/>
            <w:tcBorders>
              <w:top w:val="single" w:sz="4" w:space="0" w:color="000000"/>
              <w:left w:val="nil"/>
              <w:bottom w:val="single" w:sz="4" w:space="0" w:color="000000"/>
              <w:right w:val="single" w:sz="4" w:space="0" w:color="000000"/>
            </w:tcBorders>
            <w:shd w:val="clear" w:color="auto" w:fill="auto"/>
            <w:hideMark/>
          </w:tcPr>
          <w:p w14:paraId="0092CF7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comma 1 lett. d)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81 comma 1 decreto legislativo 36/2023</w:t>
            </w:r>
          </w:p>
        </w:tc>
      </w:tr>
      <w:tr w:rsidR="00041B26" w:rsidRPr="00CF5DD9" w14:paraId="01ACC0E7"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5DB65E5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settori speciali sotto</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soglia</w:t>
            </w:r>
          </w:p>
        </w:tc>
        <w:tc>
          <w:tcPr>
            <w:tcW w:w="992" w:type="dxa"/>
            <w:tcBorders>
              <w:top w:val="nil"/>
              <w:left w:val="nil"/>
              <w:bottom w:val="single" w:sz="4" w:space="0" w:color="000000"/>
              <w:right w:val="single" w:sz="4" w:space="0" w:color="000000"/>
            </w:tcBorders>
            <w:shd w:val="clear" w:color="auto" w:fill="auto"/>
            <w:hideMark/>
          </w:tcPr>
          <w:p w14:paraId="384E633F"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P2.8</w:t>
            </w:r>
          </w:p>
        </w:tc>
        <w:tc>
          <w:tcPr>
            <w:tcW w:w="3544" w:type="dxa"/>
            <w:tcBorders>
              <w:top w:val="nil"/>
              <w:left w:val="nil"/>
              <w:bottom w:val="single" w:sz="4" w:space="0" w:color="000000"/>
              <w:right w:val="single" w:sz="4" w:space="0" w:color="000000"/>
            </w:tcBorders>
            <w:shd w:val="clear" w:color="auto" w:fill="auto"/>
            <w:hideMark/>
          </w:tcPr>
          <w:p w14:paraId="3242410D" w14:textId="77777777" w:rsidR="00CF5DD9" w:rsidRPr="00CF5DD9" w:rsidRDefault="00CF5DD9" w:rsidP="00CF5DD9">
            <w:pPr>
              <w:jc w:val="cente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preinformazione utilizzato per abbreviare 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termini per la ricezione delle offerte —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settoriale</w:t>
            </w:r>
          </w:p>
        </w:tc>
        <w:tc>
          <w:tcPr>
            <w:tcW w:w="3118" w:type="dxa"/>
            <w:tcBorders>
              <w:top w:val="single" w:sz="4" w:space="0" w:color="000000"/>
              <w:left w:val="nil"/>
              <w:bottom w:val="single" w:sz="4" w:space="0" w:color="000000"/>
              <w:right w:val="single" w:sz="4" w:space="0" w:color="000000"/>
            </w:tcBorders>
            <w:shd w:val="clear" w:color="auto" w:fill="auto"/>
            <w:hideMark/>
          </w:tcPr>
          <w:p w14:paraId="32C66F6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decreto legislativo 36/2023</w:t>
            </w:r>
            <w:r w:rsidRPr="00CF5DD9">
              <w:rPr>
                <w:rFonts w:ascii="Arial" w:eastAsia="Times New Roman" w:hAnsi="Arial" w:cs="Arial"/>
                <w:kern w:val="0"/>
                <w:sz w:val="20"/>
                <w:szCs w:val="20"/>
                <w:lang w:eastAsia="it-IT"/>
              </w:rPr>
              <w:br/>
              <w:t>Articolo 50 comma 5 decreto legislativo 36/2023</w:t>
            </w:r>
          </w:p>
        </w:tc>
      </w:tr>
      <w:tr w:rsidR="00041B26" w:rsidRPr="00CF5DD9" w14:paraId="2D8BDFCA" w14:textId="77777777" w:rsidTr="0093082B">
        <w:trPr>
          <w:trHeight w:val="1482"/>
        </w:trPr>
        <w:tc>
          <w:tcPr>
            <w:tcW w:w="1980" w:type="dxa"/>
            <w:tcBorders>
              <w:top w:val="nil"/>
              <w:left w:val="single" w:sz="4" w:space="0" w:color="000000"/>
              <w:bottom w:val="single" w:sz="4" w:space="0" w:color="000000"/>
              <w:right w:val="single" w:sz="4" w:space="0" w:color="000000"/>
            </w:tcBorders>
            <w:shd w:val="clear" w:color="auto" w:fill="auto"/>
            <w:hideMark/>
          </w:tcPr>
          <w:p w14:paraId="5B71026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settore difesa 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sicurezza sotto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procedure ordinarie (solo per:</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1mln &lt;=L&lt; soglia)</w:t>
            </w:r>
          </w:p>
        </w:tc>
        <w:tc>
          <w:tcPr>
            <w:tcW w:w="992" w:type="dxa"/>
            <w:tcBorders>
              <w:top w:val="nil"/>
              <w:left w:val="nil"/>
              <w:bottom w:val="single" w:sz="4" w:space="0" w:color="000000"/>
              <w:right w:val="single" w:sz="4" w:space="0" w:color="000000"/>
            </w:tcBorders>
            <w:shd w:val="clear" w:color="auto" w:fill="auto"/>
            <w:hideMark/>
          </w:tcPr>
          <w:p w14:paraId="19763B3C"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P2.9</w:t>
            </w:r>
          </w:p>
        </w:tc>
        <w:tc>
          <w:tcPr>
            <w:tcW w:w="3544" w:type="dxa"/>
            <w:tcBorders>
              <w:top w:val="nil"/>
              <w:left w:val="nil"/>
              <w:bottom w:val="single" w:sz="4" w:space="0" w:color="000000"/>
              <w:right w:val="single" w:sz="4" w:space="0" w:color="000000"/>
            </w:tcBorders>
            <w:shd w:val="clear" w:color="auto" w:fill="auto"/>
            <w:hideMark/>
          </w:tcPr>
          <w:p w14:paraId="67CB230B" w14:textId="77777777" w:rsidR="00CF5DD9" w:rsidRPr="00CF5DD9" w:rsidRDefault="00CF5DD9" w:rsidP="00CF5DD9">
            <w:pPr>
              <w:jc w:val="cente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preinformazione utilizzato per abbreviare 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termini per la ricezione delle offerte — direttiva per il</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settore della difesa</w:t>
            </w:r>
          </w:p>
        </w:tc>
        <w:tc>
          <w:tcPr>
            <w:tcW w:w="3118" w:type="dxa"/>
            <w:tcBorders>
              <w:top w:val="single" w:sz="4" w:space="0" w:color="000000"/>
              <w:left w:val="nil"/>
              <w:bottom w:val="single" w:sz="4" w:space="0" w:color="000000"/>
              <w:right w:val="single" w:sz="4" w:space="0" w:color="000000"/>
            </w:tcBorders>
            <w:shd w:val="clear" w:color="auto" w:fill="auto"/>
            <w:hideMark/>
          </w:tcPr>
          <w:p w14:paraId="770C4A5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31 decreto legislativo 208/2011</w:t>
            </w:r>
            <w:r w:rsidRPr="00CF5DD9">
              <w:rPr>
                <w:rFonts w:ascii="Arial" w:eastAsia="Times New Roman" w:hAnsi="Arial" w:cs="Arial"/>
                <w:kern w:val="0"/>
                <w:sz w:val="20"/>
                <w:szCs w:val="20"/>
                <w:lang w:eastAsia="it-IT"/>
              </w:rPr>
              <w:br/>
              <w:t>Articolo 50 comma 1 lett. d)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81 comma 1 decreto legislativo 36/2023</w:t>
            </w:r>
          </w:p>
        </w:tc>
      </w:tr>
      <w:tr w:rsidR="00041B26" w:rsidRPr="00CF5DD9" w14:paraId="4C151A0A" w14:textId="77777777" w:rsidTr="0093082B">
        <w:trPr>
          <w:trHeight w:val="1159"/>
        </w:trPr>
        <w:tc>
          <w:tcPr>
            <w:tcW w:w="1980" w:type="dxa"/>
            <w:tcBorders>
              <w:top w:val="nil"/>
              <w:left w:val="single" w:sz="4" w:space="0" w:color="000000"/>
              <w:bottom w:val="single" w:sz="4" w:space="0" w:color="000000"/>
              <w:right w:val="single" w:sz="4" w:space="0" w:color="000000"/>
            </w:tcBorders>
            <w:shd w:val="clear" w:color="auto" w:fill="auto"/>
            <w:hideMark/>
          </w:tcPr>
          <w:p w14:paraId="6A15249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ordinari sotto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procedure ordinarie</w:t>
            </w:r>
            <w:r w:rsidRPr="00CF5DD9">
              <w:rPr>
                <w:rFonts w:ascii="Arial" w:eastAsia="Times New Roman" w:hAnsi="Arial" w:cs="Arial"/>
                <w:b/>
                <w:bCs/>
                <w:kern w:val="0"/>
                <w:sz w:val="20"/>
                <w:szCs w:val="20"/>
                <w:lang w:eastAsia="it-IT"/>
              </w:rPr>
              <w:br/>
              <w:t>(solo per: 1mln &lt;=L&lt; soglia)</w:t>
            </w:r>
          </w:p>
        </w:tc>
        <w:tc>
          <w:tcPr>
            <w:tcW w:w="992" w:type="dxa"/>
            <w:tcBorders>
              <w:top w:val="nil"/>
              <w:left w:val="nil"/>
              <w:bottom w:val="single" w:sz="4" w:space="0" w:color="000000"/>
              <w:right w:val="single" w:sz="4" w:space="0" w:color="000000"/>
            </w:tcBorders>
            <w:shd w:val="clear" w:color="auto" w:fill="auto"/>
            <w:hideMark/>
          </w:tcPr>
          <w:p w14:paraId="482AB23E"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P2.10</w:t>
            </w:r>
          </w:p>
        </w:tc>
        <w:tc>
          <w:tcPr>
            <w:tcW w:w="3544" w:type="dxa"/>
            <w:tcBorders>
              <w:top w:val="nil"/>
              <w:left w:val="nil"/>
              <w:bottom w:val="single" w:sz="4" w:space="0" w:color="000000"/>
              <w:right w:val="single" w:sz="4" w:space="0" w:color="000000"/>
            </w:tcBorders>
            <w:shd w:val="clear" w:color="auto" w:fill="auto"/>
            <w:hideMark/>
          </w:tcPr>
          <w:p w14:paraId="2904BD2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preinformazione utilizzato come avviso di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indizione di gara — direttiva generale, regime 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35D8753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81 comma 2 decreto legislativo 36/2023</w:t>
            </w:r>
          </w:p>
        </w:tc>
      </w:tr>
      <w:tr w:rsidR="00041B26" w:rsidRPr="00CF5DD9" w14:paraId="566E71B8" w14:textId="77777777" w:rsidTr="0093082B">
        <w:trPr>
          <w:trHeight w:val="840"/>
        </w:trPr>
        <w:tc>
          <w:tcPr>
            <w:tcW w:w="1980" w:type="dxa"/>
            <w:tcBorders>
              <w:top w:val="nil"/>
              <w:left w:val="single" w:sz="4" w:space="0" w:color="000000"/>
              <w:bottom w:val="single" w:sz="4" w:space="0" w:color="000000"/>
              <w:right w:val="single" w:sz="4" w:space="0" w:color="000000"/>
            </w:tcBorders>
            <w:shd w:val="clear" w:color="auto" w:fill="auto"/>
            <w:hideMark/>
          </w:tcPr>
          <w:p w14:paraId="6094DCC7"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speciali sotto soglia -</w:t>
            </w:r>
          </w:p>
        </w:tc>
        <w:tc>
          <w:tcPr>
            <w:tcW w:w="992" w:type="dxa"/>
            <w:tcBorders>
              <w:top w:val="nil"/>
              <w:left w:val="nil"/>
              <w:bottom w:val="single" w:sz="4" w:space="0" w:color="000000"/>
              <w:right w:val="single" w:sz="4" w:space="0" w:color="000000"/>
            </w:tcBorders>
            <w:shd w:val="clear" w:color="auto" w:fill="auto"/>
            <w:hideMark/>
          </w:tcPr>
          <w:p w14:paraId="49E6B4C1"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P2.11</w:t>
            </w:r>
          </w:p>
        </w:tc>
        <w:tc>
          <w:tcPr>
            <w:tcW w:w="3544" w:type="dxa"/>
            <w:tcBorders>
              <w:top w:val="nil"/>
              <w:left w:val="nil"/>
              <w:bottom w:val="single" w:sz="4" w:space="0" w:color="000000"/>
              <w:right w:val="single" w:sz="4" w:space="0" w:color="000000"/>
            </w:tcBorders>
            <w:shd w:val="clear" w:color="auto" w:fill="auto"/>
            <w:hideMark/>
          </w:tcPr>
          <w:p w14:paraId="32B1309F"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periodico indicativo utilizzato come avviso di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indizione di gara — direttiva settoriale, regime 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52A31BCD"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decreto legislativo 36/2023</w:t>
            </w:r>
            <w:r w:rsidRPr="00CF5DD9">
              <w:rPr>
                <w:rFonts w:ascii="Arial" w:eastAsia="Times New Roman" w:hAnsi="Arial" w:cs="Arial"/>
                <w:kern w:val="0"/>
                <w:sz w:val="20"/>
                <w:szCs w:val="20"/>
                <w:lang w:eastAsia="it-IT"/>
              </w:rPr>
              <w:br/>
              <w:t>Articolo 50 comma 5 decreto legislativo 36/2023</w:t>
            </w:r>
          </w:p>
        </w:tc>
      </w:tr>
      <w:tr w:rsidR="00041B26" w:rsidRPr="00CF5DD9" w14:paraId="54DE0894" w14:textId="77777777" w:rsidTr="0093082B">
        <w:trPr>
          <w:trHeight w:val="1080"/>
        </w:trPr>
        <w:tc>
          <w:tcPr>
            <w:tcW w:w="1980" w:type="dxa"/>
            <w:tcBorders>
              <w:top w:val="nil"/>
              <w:left w:val="single" w:sz="4" w:space="0" w:color="000000"/>
              <w:bottom w:val="single" w:sz="4" w:space="0" w:color="000000"/>
              <w:right w:val="single" w:sz="4" w:space="0" w:color="000000"/>
            </w:tcBorders>
            <w:shd w:val="clear" w:color="auto" w:fill="auto"/>
            <w:hideMark/>
          </w:tcPr>
          <w:p w14:paraId="660D8F6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ordinari sotto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regime alleggerito</w:t>
            </w:r>
          </w:p>
        </w:tc>
        <w:tc>
          <w:tcPr>
            <w:tcW w:w="992" w:type="dxa"/>
            <w:tcBorders>
              <w:top w:val="nil"/>
              <w:left w:val="nil"/>
              <w:bottom w:val="single" w:sz="4" w:space="0" w:color="000000"/>
              <w:right w:val="single" w:sz="4" w:space="0" w:color="000000"/>
            </w:tcBorders>
            <w:shd w:val="clear" w:color="auto" w:fill="auto"/>
            <w:hideMark/>
          </w:tcPr>
          <w:p w14:paraId="31439ABE"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P2.12</w:t>
            </w:r>
          </w:p>
        </w:tc>
        <w:tc>
          <w:tcPr>
            <w:tcW w:w="3544" w:type="dxa"/>
            <w:tcBorders>
              <w:top w:val="nil"/>
              <w:left w:val="nil"/>
              <w:bottom w:val="single" w:sz="4" w:space="0" w:color="000000"/>
              <w:right w:val="single" w:sz="4" w:space="0" w:color="000000"/>
            </w:tcBorders>
            <w:shd w:val="clear" w:color="auto" w:fill="auto"/>
            <w:hideMark/>
          </w:tcPr>
          <w:p w14:paraId="09943E92"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preinformazione utilizzato come avviso di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indizione di gara — direttiva generale, regime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17312ED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127 decreto legislativo 36/2023</w:t>
            </w:r>
            <w:r w:rsidRPr="00CF5DD9">
              <w:rPr>
                <w:rFonts w:ascii="Arial" w:eastAsia="Times New Roman" w:hAnsi="Arial" w:cs="Arial"/>
                <w:kern w:val="0"/>
                <w:sz w:val="20"/>
                <w:szCs w:val="20"/>
                <w:lang w:eastAsia="it-IT"/>
              </w:rPr>
              <w:br/>
              <w:t>Articolo 128 comma 8 decreto legislativo 36/2023</w:t>
            </w:r>
          </w:p>
        </w:tc>
      </w:tr>
      <w:tr w:rsidR="00041B26" w:rsidRPr="00CF5DD9" w14:paraId="16B548FF" w14:textId="77777777" w:rsidTr="0093082B">
        <w:trPr>
          <w:trHeight w:val="822"/>
        </w:trPr>
        <w:tc>
          <w:tcPr>
            <w:tcW w:w="1980" w:type="dxa"/>
            <w:tcBorders>
              <w:top w:val="nil"/>
              <w:left w:val="single" w:sz="4" w:space="0" w:color="000000"/>
              <w:bottom w:val="single" w:sz="4" w:space="0" w:color="000000"/>
              <w:right w:val="single" w:sz="4" w:space="0" w:color="000000"/>
            </w:tcBorders>
            <w:shd w:val="clear" w:color="auto" w:fill="auto"/>
            <w:hideMark/>
          </w:tcPr>
          <w:p w14:paraId="64FBEAE2"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e procedure</w:t>
            </w:r>
          </w:p>
        </w:tc>
        <w:tc>
          <w:tcPr>
            <w:tcW w:w="992" w:type="dxa"/>
            <w:tcBorders>
              <w:top w:val="nil"/>
              <w:left w:val="nil"/>
              <w:bottom w:val="single" w:sz="4" w:space="0" w:color="000000"/>
              <w:right w:val="single" w:sz="4" w:space="0" w:color="000000"/>
            </w:tcBorders>
            <w:shd w:val="clear" w:color="auto" w:fill="auto"/>
            <w:hideMark/>
          </w:tcPr>
          <w:p w14:paraId="2F6EC72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Scheda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art. 23</w:t>
            </w:r>
          </w:p>
        </w:tc>
        <w:tc>
          <w:tcPr>
            <w:tcW w:w="3544" w:type="dxa"/>
            <w:tcBorders>
              <w:top w:val="nil"/>
              <w:left w:val="nil"/>
              <w:bottom w:val="single" w:sz="4" w:space="0" w:color="000000"/>
              <w:right w:val="single" w:sz="4" w:space="0" w:color="000000"/>
            </w:tcBorders>
            <w:shd w:val="clear" w:color="auto" w:fill="auto"/>
            <w:hideMark/>
          </w:tcPr>
          <w:p w14:paraId="47DA0D76"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Descrizione del contenuto dei dati</w:t>
            </w:r>
          </w:p>
        </w:tc>
        <w:tc>
          <w:tcPr>
            <w:tcW w:w="3118" w:type="dxa"/>
            <w:tcBorders>
              <w:top w:val="single" w:sz="4" w:space="0" w:color="000000"/>
              <w:left w:val="nil"/>
              <w:bottom w:val="single" w:sz="4" w:space="0" w:color="000000"/>
              <w:right w:val="single" w:sz="4" w:space="0" w:color="000000"/>
            </w:tcBorders>
            <w:shd w:val="clear" w:color="auto" w:fill="auto"/>
            <w:hideMark/>
          </w:tcPr>
          <w:p w14:paraId="134344DB"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Riferimento normativo</w:t>
            </w:r>
          </w:p>
        </w:tc>
      </w:tr>
      <w:tr w:rsidR="00041B26" w:rsidRPr="00CF5DD9" w14:paraId="433AE948" w14:textId="77777777" w:rsidTr="0093082B">
        <w:trPr>
          <w:trHeight w:val="900"/>
        </w:trPr>
        <w:tc>
          <w:tcPr>
            <w:tcW w:w="1980" w:type="dxa"/>
            <w:tcBorders>
              <w:top w:val="nil"/>
              <w:left w:val="single" w:sz="4" w:space="0" w:color="000000"/>
              <w:bottom w:val="single" w:sz="4" w:space="0" w:color="000000"/>
              <w:right w:val="single" w:sz="4" w:space="0" w:color="000000"/>
            </w:tcBorders>
            <w:shd w:val="clear" w:color="auto" w:fill="auto"/>
            <w:hideMark/>
          </w:tcPr>
          <w:p w14:paraId="43BE246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speciali sotto soglia -</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regime alleggerito</w:t>
            </w:r>
          </w:p>
        </w:tc>
        <w:tc>
          <w:tcPr>
            <w:tcW w:w="992" w:type="dxa"/>
            <w:tcBorders>
              <w:top w:val="nil"/>
              <w:left w:val="nil"/>
              <w:bottom w:val="single" w:sz="4" w:space="0" w:color="000000"/>
              <w:right w:val="single" w:sz="4" w:space="0" w:color="000000"/>
            </w:tcBorders>
            <w:shd w:val="clear" w:color="auto" w:fill="auto"/>
            <w:hideMark/>
          </w:tcPr>
          <w:p w14:paraId="708714A6"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P2.13</w:t>
            </w:r>
          </w:p>
        </w:tc>
        <w:tc>
          <w:tcPr>
            <w:tcW w:w="3544" w:type="dxa"/>
            <w:tcBorders>
              <w:top w:val="nil"/>
              <w:left w:val="nil"/>
              <w:bottom w:val="single" w:sz="4" w:space="0" w:color="000000"/>
              <w:right w:val="single" w:sz="4" w:space="0" w:color="000000"/>
            </w:tcBorders>
            <w:shd w:val="clear" w:color="auto" w:fill="auto"/>
            <w:hideMark/>
          </w:tcPr>
          <w:p w14:paraId="09301BF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Bando periodico indicativo utilizzato come avviso di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indizione di gara — direttiva settoriale, regime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15ADAFB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comma 5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Libro III decreto legislativo 36/2023</w:t>
            </w:r>
          </w:p>
        </w:tc>
      </w:tr>
      <w:tr w:rsidR="00041B26" w:rsidRPr="00CF5DD9" w14:paraId="174108FE" w14:textId="77777777" w:rsidTr="0093082B">
        <w:trPr>
          <w:trHeight w:val="942"/>
        </w:trPr>
        <w:tc>
          <w:tcPr>
            <w:tcW w:w="1980" w:type="dxa"/>
            <w:tcBorders>
              <w:top w:val="nil"/>
              <w:left w:val="single" w:sz="4" w:space="0" w:color="000000"/>
              <w:bottom w:val="single" w:sz="4" w:space="0" w:color="000000"/>
              <w:right w:val="single" w:sz="4" w:space="0" w:color="000000"/>
            </w:tcBorders>
            <w:shd w:val="clear" w:color="auto" w:fill="auto"/>
            <w:hideMark/>
          </w:tcPr>
          <w:p w14:paraId="461434E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concessioni sotto soglia regime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alleggerito</w:t>
            </w:r>
          </w:p>
        </w:tc>
        <w:tc>
          <w:tcPr>
            <w:tcW w:w="992" w:type="dxa"/>
            <w:tcBorders>
              <w:top w:val="nil"/>
              <w:left w:val="nil"/>
              <w:bottom w:val="single" w:sz="4" w:space="0" w:color="000000"/>
              <w:right w:val="single" w:sz="4" w:space="0" w:color="000000"/>
            </w:tcBorders>
            <w:shd w:val="clear" w:color="auto" w:fill="auto"/>
            <w:hideMark/>
          </w:tcPr>
          <w:p w14:paraId="103ED2F9"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P2.14</w:t>
            </w:r>
          </w:p>
        </w:tc>
        <w:tc>
          <w:tcPr>
            <w:tcW w:w="3544" w:type="dxa"/>
            <w:tcBorders>
              <w:top w:val="nil"/>
              <w:left w:val="nil"/>
              <w:bottom w:val="single" w:sz="4" w:space="0" w:color="000000"/>
              <w:right w:val="single" w:sz="4" w:space="0" w:color="000000"/>
            </w:tcBorders>
            <w:shd w:val="clear" w:color="auto" w:fill="auto"/>
            <w:hideMark/>
          </w:tcPr>
          <w:p w14:paraId="5530456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preinformazione utilizzato come avviso di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indizione di gara — direttiva sulle concessioni, regime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37E2EA3D"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187 decreto legislativo 36/2023</w:t>
            </w:r>
          </w:p>
        </w:tc>
      </w:tr>
      <w:tr w:rsidR="00041B26" w:rsidRPr="00CF5DD9" w14:paraId="107851C8" w14:textId="77777777" w:rsidTr="0093082B">
        <w:trPr>
          <w:trHeight w:val="882"/>
        </w:trPr>
        <w:tc>
          <w:tcPr>
            <w:tcW w:w="1980" w:type="dxa"/>
            <w:tcBorders>
              <w:top w:val="nil"/>
              <w:left w:val="single" w:sz="4" w:space="0" w:color="000000"/>
              <w:bottom w:val="single" w:sz="4" w:space="0" w:color="000000"/>
              <w:right w:val="single" w:sz="4" w:space="0" w:color="000000"/>
            </w:tcBorders>
            <w:shd w:val="clear" w:color="auto" w:fill="auto"/>
            <w:hideMark/>
          </w:tcPr>
          <w:p w14:paraId="3502C22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ordinari sotto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procedure ordinarie (solo per:</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1mln &lt;=L&lt; soglia)</w:t>
            </w:r>
          </w:p>
        </w:tc>
        <w:tc>
          <w:tcPr>
            <w:tcW w:w="992" w:type="dxa"/>
            <w:tcBorders>
              <w:top w:val="nil"/>
              <w:left w:val="nil"/>
              <w:bottom w:val="single" w:sz="4" w:space="0" w:color="000000"/>
              <w:right w:val="single" w:sz="4" w:space="0" w:color="000000"/>
            </w:tcBorders>
            <w:shd w:val="clear" w:color="auto" w:fill="auto"/>
            <w:hideMark/>
          </w:tcPr>
          <w:p w14:paraId="45DF2FC1"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P2.16</w:t>
            </w:r>
          </w:p>
        </w:tc>
        <w:tc>
          <w:tcPr>
            <w:tcW w:w="3544" w:type="dxa"/>
            <w:tcBorders>
              <w:top w:val="nil"/>
              <w:left w:val="nil"/>
              <w:bottom w:val="single" w:sz="4" w:space="0" w:color="000000"/>
              <w:right w:val="single" w:sz="4" w:space="0" w:color="000000"/>
            </w:tcBorders>
            <w:shd w:val="clear" w:color="auto" w:fill="auto"/>
            <w:hideMark/>
          </w:tcPr>
          <w:p w14:paraId="1E37D3EF"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Bando di gara — direttiva generale, regime 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5ECA42FA"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50 comma 1 lettera d) decreto legislativo 36/2023</w:t>
            </w:r>
          </w:p>
        </w:tc>
      </w:tr>
      <w:tr w:rsidR="00041B26" w:rsidRPr="00CF5DD9" w14:paraId="795E0F09" w14:textId="77777777" w:rsidTr="0093082B">
        <w:trPr>
          <w:trHeight w:val="679"/>
        </w:trPr>
        <w:tc>
          <w:tcPr>
            <w:tcW w:w="1980" w:type="dxa"/>
            <w:tcBorders>
              <w:top w:val="nil"/>
              <w:left w:val="single" w:sz="4" w:space="0" w:color="000000"/>
              <w:bottom w:val="single" w:sz="4" w:space="0" w:color="000000"/>
              <w:right w:val="single" w:sz="4" w:space="0" w:color="000000"/>
            </w:tcBorders>
            <w:shd w:val="clear" w:color="auto" w:fill="auto"/>
            <w:hideMark/>
          </w:tcPr>
          <w:p w14:paraId="72E61AC7"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speciali sotto soglia -</w:t>
            </w:r>
          </w:p>
        </w:tc>
        <w:tc>
          <w:tcPr>
            <w:tcW w:w="992" w:type="dxa"/>
            <w:tcBorders>
              <w:top w:val="nil"/>
              <w:left w:val="nil"/>
              <w:bottom w:val="single" w:sz="4" w:space="0" w:color="000000"/>
              <w:right w:val="single" w:sz="4" w:space="0" w:color="000000"/>
            </w:tcBorders>
            <w:shd w:val="clear" w:color="auto" w:fill="auto"/>
            <w:hideMark/>
          </w:tcPr>
          <w:p w14:paraId="009E3C2F"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P2.17</w:t>
            </w:r>
          </w:p>
        </w:tc>
        <w:tc>
          <w:tcPr>
            <w:tcW w:w="3544" w:type="dxa"/>
            <w:tcBorders>
              <w:top w:val="nil"/>
              <w:left w:val="nil"/>
              <w:bottom w:val="single" w:sz="4" w:space="0" w:color="000000"/>
              <w:right w:val="single" w:sz="4" w:space="0" w:color="000000"/>
            </w:tcBorders>
            <w:shd w:val="clear" w:color="auto" w:fill="auto"/>
            <w:hideMark/>
          </w:tcPr>
          <w:p w14:paraId="51777C2A"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Bando di gara — direttiva settoriale, regime 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6FE32DB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decreto legislativo 36/2023</w:t>
            </w:r>
            <w:r w:rsidRPr="00CF5DD9">
              <w:rPr>
                <w:rFonts w:ascii="Arial" w:eastAsia="Times New Roman" w:hAnsi="Arial" w:cs="Arial"/>
                <w:kern w:val="0"/>
                <w:sz w:val="20"/>
                <w:szCs w:val="20"/>
                <w:lang w:eastAsia="it-IT"/>
              </w:rPr>
              <w:br/>
              <w:t>Articolo 50 comma 5 decreto legislativo 36/2023</w:t>
            </w:r>
          </w:p>
        </w:tc>
      </w:tr>
      <w:tr w:rsidR="00041B26" w:rsidRPr="00CF5DD9" w14:paraId="51F0181A" w14:textId="77777777" w:rsidTr="0093082B">
        <w:trPr>
          <w:trHeight w:val="1279"/>
        </w:trPr>
        <w:tc>
          <w:tcPr>
            <w:tcW w:w="1980" w:type="dxa"/>
            <w:tcBorders>
              <w:top w:val="nil"/>
              <w:left w:val="single" w:sz="4" w:space="0" w:color="000000"/>
              <w:bottom w:val="single" w:sz="4" w:space="0" w:color="000000"/>
              <w:right w:val="single" w:sz="4" w:space="0" w:color="000000"/>
            </w:tcBorders>
            <w:shd w:val="clear" w:color="auto" w:fill="auto"/>
            <w:hideMark/>
          </w:tcPr>
          <w:p w14:paraId="2873BDC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lastRenderedPageBreak/>
              <w:t>settore difesa e sicurezza sotto</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soglia</w:t>
            </w:r>
            <w:r w:rsidRPr="00CF5DD9">
              <w:rPr>
                <w:rFonts w:ascii="Arial" w:eastAsia="Times New Roman" w:hAnsi="Arial" w:cs="Arial"/>
                <w:b/>
                <w:bCs/>
                <w:kern w:val="0"/>
                <w:sz w:val="20"/>
                <w:szCs w:val="20"/>
                <w:lang w:eastAsia="it-IT"/>
              </w:rPr>
              <w:br/>
              <w:t>procedure ordinarie (solo per:</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1mln &lt;=L&lt; soglia)</w:t>
            </w:r>
          </w:p>
        </w:tc>
        <w:tc>
          <w:tcPr>
            <w:tcW w:w="992" w:type="dxa"/>
            <w:tcBorders>
              <w:top w:val="nil"/>
              <w:left w:val="nil"/>
              <w:bottom w:val="single" w:sz="4" w:space="0" w:color="000000"/>
              <w:right w:val="single" w:sz="4" w:space="0" w:color="000000"/>
            </w:tcBorders>
            <w:shd w:val="clear" w:color="auto" w:fill="auto"/>
            <w:hideMark/>
          </w:tcPr>
          <w:p w14:paraId="7B44A90C"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P2.18</w:t>
            </w:r>
          </w:p>
        </w:tc>
        <w:tc>
          <w:tcPr>
            <w:tcW w:w="3544" w:type="dxa"/>
            <w:tcBorders>
              <w:top w:val="nil"/>
              <w:left w:val="nil"/>
              <w:bottom w:val="single" w:sz="4" w:space="0" w:color="000000"/>
              <w:right w:val="single" w:sz="4" w:space="0" w:color="000000"/>
            </w:tcBorders>
            <w:shd w:val="clear" w:color="auto" w:fill="auto"/>
            <w:hideMark/>
          </w:tcPr>
          <w:p w14:paraId="14163A2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Bando di gara — direttiva per il settore della difesa,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regime 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33C2C44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31 decreto legislativo 208/2011</w:t>
            </w:r>
            <w:r w:rsidRPr="00CF5DD9">
              <w:rPr>
                <w:rFonts w:ascii="Arial" w:eastAsia="Times New Roman" w:hAnsi="Arial" w:cs="Arial"/>
                <w:kern w:val="0"/>
                <w:sz w:val="20"/>
                <w:szCs w:val="20"/>
                <w:lang w:eastAsia="it-IT"/>
              </w:rPr>
              <w:br/>
              <w:t>Articolo 50 comma 1 lettera d) decreto legislativo 36/2023</w:t>
            </w:r>
          </w:p>
        </w:tc>
      </w:tr>
      <w:tr w:rsidR="00041B26" w:rsidRPr="00CF5DD9" w14:paraId="62B454FB"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02D98E84"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concessioni sotto soglia</w:t>
            </w:r>
          </w:p>
        </w:tc>
        <w:tc>
          <w:tcPr>
            <w:tcW w:w="992" w:type="dxa"/>
            <w:tcBorders>
              <w:top w:val="nil"/>
              <w:left w:val="nil"/>
              <w:bottom w:val="single" w:sz="4" w:space="0" w:color="000000"/>
              <w:right w:val="single" w:sz="4" w:space="0" w:color="000000"/>
            </w:tcBorders>
            <w:shd w:val="clear" w:color="auto" w:fill="auto"/>
            <w:hideMark/>
          </w:tcPr>
          <w:p w14:paraId="6F3D1519"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P2.19</w:t>
            </w:r>
          </w:p>
        </w:tc>
        <w:tc>
          <w:tcPr>
            <w:tcW w:w="3544" w:type="dxa"/>
            <w:tcBorders>
              <w:top w:val="nil"/>
              <w:left w:val="nil"/>
              <w:bottom w:val="single" w:sz="4" w:space="0" w:color="000000"/>
              <w:right w:val="single" w:sz="4" w:space="0" w:color="000000"/>
            </w:tcBorders>
            <w:shd w:val="clear" w:color="auto" w:fill="auto"/>
            <w:hideMark/>
          </w:tcPr>
          <w:p w14:paraId="155F544D"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Bando di concessione - direttiva sulle concessioni,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regime 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0531CDE4"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187 decreto legislativo 36/2023</w:t>
            </w:r>
          </w:p>
        </w:tc>
      </w:tr>
      <w:tr w:rsidR="00041B26" w:rsidRPr="00CF5DD9" w14:paraId="0F0FF61F" w14:textId="77777777" w:rsidTr="0093082B">
        <w:trPr>
          <w:trHeight w:val="679"/>
        </w:trPr>
        <w:tc>
          <w:tcPr>
            <w:tcW w:w="1980" w:type="dxa"/>
            <w:tcBorders>
              <w:top w:val="nil"/>
              <w:left w:val="single" w:sz="4" w:space="0" w:color="000000"/>
              <w:bottom w:val="single" w:sz="4" w:space="0" w:color="000000"/>
              <w:right w:val="single" w:sz="4" w:space="0" w:color="000000"/>
            </w:tcBorders>
            <w:shd w:val="clear" w:color="auto" w:fill="auto"/>
            <w:hideMark/>
          </w:tcPr>
          <w:p w14:paraId="3B2D010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ordinari sotto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regime alleggerito</w:t>
            </w:r>
          </w:p>
        </w:tc>
        <w:tc>
          <w:tcPr>
            <w:tcW w:w="992" w:type="dxa"/>
            <w:tcBorders>
              <w:top w:val="nil"/>
              <w:left w:val="nil"/>
              <w:bottom w:val="single" w:sz="4" w:space="0" w:color="000000"/>
              <w:right w:val="single" w:sz="4" w:space="0" w:color="000000"/>
            </w:tcBorders>
            <w:shd w:val="clear" w:color="auto" w:fill="auto"/>
            <w:hideMark/>
          </w:tcPr>
          <w:p w14:paraId="488CDC81"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P2.20</w:t>
            </w:r>
          </w:p>
        </w:tc>
        <w:tc>
          <w:tcPr>
            <w:tcW w:w="3544" w:type="dxa"/>
            <w:tcBorders>
              <w:top w:val="nil"/>
              <w:left w:val="nil"/>
              <w:bottom w:val="single" w:sz="4" w:space="0" w:color="000000"/>
              <w:right w:val="single" w:sz="4" w:space="0" w:color="000000"/>
            </w:tcBorders>
            <w:shd w:val="clear" w:color="auto" w:fill="auto"/>
            <w:hideMark/>
          </w:tcPr>
          <w:p w14:paraId="5EF429D6"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Bando di gara — direttiva generale, regime 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57F5E2F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127 decreto legislativo 36/2023</w:t>
            </w:r>
            <w:r w:rsidRPr="00CF5DD9">
              <w:rPr>
                <w:rFonts w:ascii="Arial" w:eastAsia="Times New Roman" w:hAnsi="Arial" w:cs="Arial"/>
                <w:kern w:val="0"/>
                <w:sz w:val="20"/>
                <w:szCs w:val="20"/>
                <w:lang w:eastAsia="it-IT"/>
              </w:rPr>
              <w:br/>
              <w:t>Articolo 128 comma 8 decreto legislativo 36/2023</w:t>
            </w:r>
          </w:p>
        </w:tc>
      </w:tr>
      <w:tr w:rsidR="00041B26" w:rsidRPr="00CF5DD9" w14:paraId="4ED8C687" w14:textId="77777777" w:rsidTr="0093082B">
        <w:trPr>
          <w:trHeight w:val="660"/>
        </w:trPr>
        <w:tc>
          <w:tcPr>
            <w:tcW w:w="1980" w:type="dxa"/>
            <w:tcBorders>
              <w:top w:val="nil"/>
              <w:left w:val="single" w:sz="4" w:space="0" w:color="000000"/>
              <w:bottom w:val="single" w:sz="4" w:space="0" w:color="000000"/>
              <w:right w:val="single" w:sz="4" w:space="0" w:color="000000"/>
            </w:tcBorders>
            <w:shd w:val="clear" w:color="auto" w:fill="auto"/>
            <w:hideMark/>
          </w:tcPr>
          <w:p w14:paraId="7261AA12"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speciali sottosoglia -</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regime alleggerito</w:t>
            </w:r>
          </w:p>
        </w:tc>
        <w:tc>
          <w:tcPr>
            <w:tcW w:w="992" w:type="dxa"/>
            <w:tcBorders>
              <w:top w:val="nil"/>
              <w:left w:val="nil"/>
              <w:bottom w:val="single" w:sz="4" w:space="0" w:color="000000"/>
              <w:right w:val="single" w:sz="4" w:space="0" w:color="000000"/>
            </w:tcBorders>
            <w:shd w:val="clear" w:color="auto" w:fill="auto"/>
            <w:hideMark/>
          </w:tcPr>
          <w:p w14:paraId="27C67831"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P2.21</w:t>
            </w:r>
          </w:p>
        </w:tc>
        <w:tc>
          <w:tcPr>
            <w:tcW w:w="3544" w:type="dxa"/>
            <w:tcBorders>
              <w:top w:val="nil"/>
              <w:left w:val="nil"/>
              <w:bottom w:val="single" w:sz="4" w:space="0" w:color="000000"/>
              <w:right w:val="single" w:sz="4" w:space="0" w:color="000000"/>
            </w:tcBorders>
            <w:shd w:val="clear" w:color="auto" w:fill="auto"/>
            <w:hideMark/>
          </w:tcPr>
          <w:p w14:paraId="03FDA8D3"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Avviso di gara - direttiva settoriale, regime 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354262E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comma 5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Libro III decreto legislativo 36/2023</w:t>
            </w:r>
          </w:p>
        </w:tc>
      </w:tr>
      <w:tr w:rsidR="00041B26" w:rsidRPr="00CF5DD9" w14:paraId="166FE16F" w14:textId="77777777" w:rsidTr="0093082B">
        <w:trPr>
          <w:trHeight w:val="619"/>
        </w:trPr>
        <w:tc>
          <w:tcPr>
            <w:tcW w:w="1980" w:type="dxa"/>
            <w:tcBorders>
              <w:top w:val="nil"/>
              <w:left w:val="single" w:sz="4" w:space="0" w:color="000000"/>
              <w:bottom w:val="single" w:sz="4" w:space="0" w:color="000000"/>
              <w:right w:val="single" w:sz="4" w:space="0" w:color="000000"/>
            </w:tcBorders>
            <w:shd w:val="clear" w:color="auto" w:fill="auto"/>
            <w:hideMark/>
          </w:tcPr>
          <w:p w14:paraId="6D4512FD"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ordinari sotto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concorsi di progettazione</w:t>
            </w:r>
          </w:p>
        </w:tc>
        <w:tc>
          <w:tcPr>
            <w:tcW w:w="992" w:type="dxa"/>
            <w:tcBorders>
              <w:top w:val="nil"/>
              <w:left w:val="nil"/>
              <w:bottom w:val="single" w:sz="4" w:space="0" w:color="000000"/>
              <w:right w:val="single" w:sz="4" w:space="0" w:color="000000"/>
            </w:tcBorders>
            <w:shd w:val="clear" w:color="auto" w:fill="auto"/>
            <w:hideMark/>
          </w:tcPr>
          <w:p w14:paraId="0DF66DF9"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P2.23</w:t>
            </w:r>
          </w:p>
        </w:tc>
        <w:tc>
          <w:tcPr>
            <w:tcW w:w="3544" w:type="dxa"/>
            <w:tcBorders>
              <w:top w:val="nil"/>
              <w:left w:val="nil"/>
              <w:bottom w:val="single" w:sz="4" w:space="0" w:color="000000"/>
              <w:right w:val="single" w:sz="4" w:space="0" w:color="000000"/>
            </w:tcBorders>
            <w:shd w:val="clear" w:color="auto" w:fill="auto"/>
            <w:hideMark/>
          </w:tcPr>
          <w:p w14:paraId="41E598E3"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Avviso o bando di concorso di progettazione</w:t>
            </w:r>
          </w:p>
        </w:tc>
        <w:tc>
          <w:tcPr>
            <w:tcW w:w="3118" w:type="dxa"/>
            <w:tcBorders>
              <w:top w:val="single" w:sz="4" w:space="0" w:color="000000"/>
              <w:left w:val="nil"/>
              <w:bottom w:val="single" w:sz="4" w:space="0" w:color="000000"/>
              <w:right w:val="single" w:sz="4" w:space="0" w:color="000000"/>
            </w:tcBorders>
            <w:shd w:val="clear" w:color="auto" w:fill="auto"/>
            <w:hideMark/>
          </w:tcPr>
          <w:p w14:paraId="2027157B"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46 decreto legislativo 36/2023</w:t>
            </w:r>
          </w:p>
        </w:tc>
      </w:tr>
      <w:tr w:rsidR="00041B26" w:rsidRPr="00CF5DD9" w14:paraId="0665542B" w14:textId="77777777" w:rsidTr="0093082B">
        <w:trPr>
          <w:trHeight w:val="720"/>
        </w:trPr>
        <w:tc>
          <w:tcPr>
            <w:tcW w:w="1980" w:type="dxa"/>
            <w:tcBorders>
              <w:top w:val="nil"/>
              <w:left w:val="single" w:sz="4" w:space="0" w:color="000000"/>
              <w:bottom w:val="single" w:sz="4" w:space="0" w:color="000000"/>
              <w:right w:val="single" w:sz="4" w:space="0" w:color="000000"/>
            </w:tcBorders>
            <w:shd w:val="clear" w:color="auto" w:fill="auto"/>
            <w:hideMark/>
          </w:tcPr>
          <w:p w14:paraId="5D28195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speciali sotto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concorsi di progettazione</w:t>
            </w:r>
          </w:p>
        </w:tc>
        <w:tc>
          <w:tcPr>
            <w:tcW w:w="992" w:type="dxa"/>
            <w:tcBorders>
              <w:top w:val="nil"/>
              <w:left w:val="nil"/>
              <w:bottom w:val="single" w:sz="4" w:space="0" w:color="000000"/>
              <w:right w:val="single" w:sz="4" w:space="0" w:color="000000"/>
            </w:tcBorders>
            <w:shd w:val="clear" w:color="auto" w:fill="auto"/>
            <w:hideMark/>
          </w:tcPr>
          <w:p w14:paraId="666028E4"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P2.24</w:t>
            </w:r>
          </w:p>
        </w:tc>
        <w:tc>
          <w:tcPr>
            <w:tcW w:w="3544" w:type="dxa"/>
            <w:tcBorders>
              <w:top w:val="nil"/>
              <w:left w:val="nil"/>
              <w:bottom w:val="single" w:sz="4" w:space="0" w:color="000000"/>
              <w:right w:val="single" w:sz="4" w:space="0" w:color="000000"/>
            </w:tcBorders>
            <w:shd w:val="clear" w:color="auto" w:fill="auto"/>
            <w:hideMark/>
          </w:tcPr>
          <w:p w14:paraId="120DA552"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Avviso di concorso di progettazione</w:t>
            </w:r>
          </w:p>
        </w:tc>
        <w:tc>
          <w:tcPr>
            <w:tcW w:w="3118" w:type="dxa"/>
            <w:tcBorders>
              <w:top w:val="single" w:sz="4" w:space="0" w:color="000000"/>
              <w:left w:val="nil"/>
              <w:bottom w:val="single" w:sz="4" w:space="0" w:color="000000"/>
              <w:right w:val="single" w:sz="4" w:space="0" w:color="000000"/>
            </w:tcBorders>
            <w:shd w:val="clear" w:color="auto" w:fill="auto"/>
            <w:hideMark/>
          </w:tcPr>
          <w:p w14:paraId="308C033F"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46 decreto legislativo 36/2023</w:t>
            </w:r>
          </w:p>
        </w:tc>
      </w:tr>
      <w:tr w:rsidR="00CF5DD9" w:rsidRPr="00CF5DD9" w14:paraId="4891BBB4" w14:textId="77777777" w:rsidTr="0093082B">
        <w:trPr>
          <w:trHeight w:val="780"/>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85AA5A6"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PROCEDURE, AVVISI, AFFIDAMENTI INDIPENDENTEMENTE DAL VALORE DEL CONTRATTO</w:t>
            </w:r>
          </w:p>
        </w:tc>
      </w:tr>
      <w:tr w:rsidR="00041B26" w:rsidRPr="00CF5DD9" w14:paraId="3E573474" w14:textId="77777777" w:rsidTr="0093082B">
        <w:trPr>
          <w:trHeight w:val="2959"/>
        </w:trPr>
        <w:tc>
          <w:tcPr>
            <w:tcW w:w="1980" w:type="dxa"/>
            <w:tcBorders>
              <w:top w:val="nil"/>
              <w:left w:val="single" w:sz="4" w:space="0" w:color="000000"/>
              <w:bottom w:val="single" w:sz="4" w:space="0" w:color="000000"/>
              <w:right w:val="single" w:sz="4" w:space="0" w:color="000000"/>
            </w:tcBorders>
            <w:shd w:val="clear" w:color="auto" w:fill="auto"/>
            <w:hideMark/>
          </w:tcPr>
          <w:p w14:paraId="19DABF8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procedura negoziata senza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bando</w:t>
            </w:r>
            <w:r w:rsidRPr="00CF5DD9">
              <w:rPr>
                <w:rFonts w:ascii="Arial" w:eastAsia="Times New Roman" w:hAnsi="Arial" w:cs="Arial"/>
                <w:b/>
                <w:bCs/>
                <w:kern w:val="0"/>
                <w:sz w:val="20"/>
                <w:szCs w:val="20"/>
                <w:lang w:eastAsia="it-IT"/>
              </w:rPr>
              <w:br/>
              <w:t>appalti e concessioni -</w:t>
            </w:r>
            <w:r w:rsidRPr="00CF5DD9">
              <w:rPr>
                <w:rFonts w:ascii="Arial" w:eastAsia="Times New Roman" w:hAnsi="Arial" w:cs="Arial"/>
                <w:b/>
                <w:bCs/>
                <w:kern w:val="0"/>
                <w:sz w:val="20"/>
                <w:szCs w:val="20"/>
                <w:lang w:eastAsia="it-IT"/>
              </w:rPr>
              <w:br/>
              <w:t>tutti i settori - regime ordinario</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e alleggerito</w:t>
            </w:r>
          </w:p>
        </w:tc>
        <w:tc>
          <w:tcPr>
            <w:tcW w:w="992" w:type="dxa"/>
            <w:tcBorders>
              <w:top w:val="nil"/>
              <w:left w:val="nil"/>
              <w:bottom w:val="single" w:sz="4" w:space="0" w:color="000000"/>
              <w:right w:val="single" w:sz="4" w:space="0" w:color="000000"/>
            </w:tcBorders>
            <w:shd w:val="clear" w:color="auto" w:fill="auto"/>
            <w:hideMark/>
          </w:tcPr>
          <w:p w14:paraId="77F2A7C2"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P7_1</w:t>
            </w:r>
          </w:p>
        </w:tc>
        <w:tc>
          <w:tcPr>
            <w:tcW w:w="3544" w:type="dxa"/>
            <w:tcBorders>
              <w:top w:val="nil"/>
              <w:left w:val="nil"/>
              <w:bottom w:val="single" w:sz="4" w:space="0" w:color="000000"/>
              <w:right w:val="single" w:sz="4" w:space="0" w:color="000000"/>
            </w:tcBorders>
            <w:shd w:val="clear" w:color="auto" w:fill="auto"/>
            <w:hideMark/>
          </w:tcPr>
          <w:p w14:paraId="331AB823"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Avvio dell'indagine di mercato</w:t>
            </w:r>
          </w:p>
        </w:tc>
        <w:tc>
          <w:tcPr>
            <w:tcW w:w="3118" w:type="dxa"/>
            <w:tcBorders>
              <w:top w:val="single" w:sz="4" w:space="0" w:color="000000"/>
              <w:left w:val="nil"/>
              <w:bottom w:val="single" w:sz="4" w:space="0" w:color="000000"/>
              <w:right w:val="single" w:sz="4" w:space="0" w:color="000000"/>
            </w:tcBorders>
            <w:shd w:val="clear" w:color="auto" w:fill="auto"/>
            <w:hideMark/>
          </w:tcPr>
          <w:p w14:paraId="2316D78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76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158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18 decreto legislativo 208/2011</w:t>
            </w:r>
            <w:r w:rsidRPr="00CF5DD9">
              <w:rPr>
                <w:rFonts w:ascii="Arial" w:eastAsia="Times New Roman" w:hAnsi="Arial" w:cs="Arial"/>
                <w:kern w:val="0"/>
                <w:sz w:val="20"/>
                <w:szCs w:val="20"/>
                <w:lang w:eastAsia="it-IT"/>
              </w:rPr>
              <w:br/>
              <w:t>Articolo 50 comma 1 lettere c) d) e)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50 comma 5 decreto legislativo 36/2023 e Libro III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decreto legislativo 36/2023</w:t>
            </w:r>
            <w:r w:rsidRPr="00CF5DD9">
              <w:rPr>
                <w:rFonts w:ascii="Arial" w:eastAsia="Times New Roman" w:hAnsi="Arial" w:cs="Arial"/>
                <w:kern w:val="0"/>
                <w:sz w:val="20"/>
                <w:szCs w:val="20"/>
                <w:lang w:eastAsia="it-IT"/>
              </w:rPr>
              <w:br/>
              <w:t>Articolo 31 decreto legislativo 208/2011</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187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127 decreto legislativo 36/2023</w:t>
            </w:r>
            <w:r w:rsidRPr="00CF5DD9">
              <w:rPr>
                <w:rFonts w:ascii="Arial" w:eastAsia="Times New Roman" w:hAnsi="Arial" w:cs="Arial"/>
                <w:kern w:val="0"/>
                <w:sz w:val="20"/>
                <w:szCs w:val="20"/>
                <w:lang w:eastAsia="it-IT"/>
              </w:rPr>
              <w:br/>
              <w:t>Articolo 128 comma 8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2 Allegato II.1 del decreto legislativo 36/2023</w:t>
            </w:r>
          </w:p>
        </w:tc>
      </w:tr>
      <w:tr w:rsidR="00041B26" w:rsidRPr="00CF5DD9" w14:paraId="49373286" w14:textId="77777777" w:rsidTr="0093082B">
        <w:trPr>
          <w:trHeight w:val="1302"/>
        </w:trPr>
        <w:tc>
          <w:tcPr>
            <w:tcW w:w="1980" w:type="dxa"/>
            <w:tcBorders>
              <w:top w:val="nil"/>
              <w:left w:val="single" w:sz="4" w:space="0" w:color="000000"/>
              <w:bottom w:val="single" w:sz="4" w:space="0" w:color="000000"/>
              <w:right w:val="single" w:sz="4" w:space="0" w:color="000000"/>
            </w:tcBorders>
            <w:shd w:val="clear" w:color="auto" w:fill="auto"/>
            <w:hideMark/>
          </w:tcPr>
          <w:p w14:paraId="32841AE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ordinari</w:t>
            </w:r>
            <w:r w:rsidRPr="00CF5DD9">
              <w:rPr>
                <w:rFonts w:ascii="Arial" w:eastAsia="Times New Roman" w:hAnsi="Arial" w:cs="Arial"/>
                <w:b/>
                <w:bCs/>
                <w:kern w:val="0"/>
                <w:sz w:val="20"/>
                <w:szCs w:val="20"/>
                <w:lang w:eastAsia="it-IT"/>
              </w:rPr>
              <w:br/>
              <w:t>settore difesa e sicurezza</w:t>
            </w:r>
          </w:p>
        </w:tc>
        <w:tc>
          <w:tcPr>
            <w:tcW w:w="992" w:type="dxa"/>
            <w:tcBorders>
              <w:top w:val="nil"/>
              <w:left w:val="nil"/>
              <w:bottom w:val="single" w:sz="4" w:space="0" w:color="000000"/>
              <w:right w:val="single" w:sz="4" w:space="0" w:color="000000"/>
            </w:tcBorders>
            <w:shd w:val="clear" w:color="auto" w:fill="auto"/>
            <w:hideMark/>
          </w:tcPr>
          <w:p w14:paraId="11083AA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P7_3</w:t>
            </w:r>
          </w:p>
        </w:tc>
        <w:tc>
          <w:tcPr>
            <w:tcW w:w="3544" w:type="dxa"/>
            <w:tcBorders>
              <w:top w:val="nil"/>
              <w:left w:val="nil"/>
              <w:bottom w:val="single" w:sz="4" w:space="0" w:color="000000"/>
              <w:right w:val="single" w:sz="4" w:space="0" w:color="000000"/>
            </w:tcBorders>
            <w:shd w:val="clear" w:color="auto" w:fill="auto"/>
            <w:hideMark/>
          </w:tcPr>
          <w:p w14:paraId="03BED76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costituzione di un elenco di operatori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economici</w:t>
            </w:r>
          </w:p>
        </w:tc>
        <w:tc>
          <w:tcPr>
            <w:tcW w:w="3118" w:type="dxa"/>
            <w:tcBorders>
              <w:top w:val="single" w:sz="4" w:space="0" w:color="000000"/>
              <w:left w:val="nil"/>
              <w:bottom w:val="single" w:sz="4" w:space="0" w:color="000000"/>
              <w:right w:val="single" w:sz="4" w:space="0" w:color="000000"/>
            </w:tcBorders>
            <w:shd w:val="clear" w:color="auto" w:fill="auto"/>
            <w:hideMark/>
          </w:tcPr>
          <w:p w14:paraId="4B59A5B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comma 1 lettere c) d) e)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3 Allegato II.1 del decreto legislativo 36/2023</w:t>
            </w:r>
            <w:r w:rsidRPr="00CF5DD9">
              <w:rPr>
                <w:rFonts w:ascii="Arial" w:eastAsia="Times New Roman" w:hAnsi="Arial" w:cs="Arial"/>
                <w:kern w:val="0"/>
                <w:sz w:val="20"/>
                <w:szCs w:val="20"/>
                <w:lang w:eastAsia="it-IT"/>
              </w:rPr>
              <w:br/>
              <w:t>Articolo 31 decreto legislativo 208/2011</w:t>
            </w:r>
          </w:p>
        </w:tc>
      </w:tr>
      <w:tr w:rsidR="00041B26" w:rsidRPr="00CF5DD9" w14:paraId="0445A9E9" w14:textId="77777777" w:rsidTr="0093082B">
        <w:trPr>
          <w:trHeight w:val="822"/>
        </w:trPr>
        <w:tc>
          <w:tcPr>
            <w:tcW w:w="1980" w:type="dxa"/>
            <w:tcBorders>
              <w:top w:val="nil"/>
              <w:left w:val="single" w:sz="4" w:space="0" w:color="000000"/>
              <w:bottom w:val="single" w:sz="4" w:space="0" w:color="000000"/>
              <w:right w:val="single" w:sz="4" w:space="0" w:color="000000"/>
            </w:tcBorders>
            <w:shd w:val="clear" w:color="auto" w:fill="auto"/>
            <w:hideMark/>
          </w:tcPr>
          <w:p w14:paraId="659A1EBC"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e procedure</w:t>
            </w:r>
          </w:p>
        </w:tc>
        <w:tc>
          <w:tcPr>
            <w:tcW w:w="992" w:type="dxa"/>
            <w:tcBorders>
              <w:top w:val="nil"/>
              <w:left w:val="nil"/>
              <w:bottom w:val="single" w:sz="4" w:space="0" w:color="000000"/>
              <w:right w:val="single" w:sz="4" w:space="0" w:color="000000"/>
            </w:tcBorders>
            <w:shd w:val="clear" w:color="auto" w:fill="auto"/>
            <w:hideMark/>
          </w:tcPr>
          <w:p w14:paraId="649A0D4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Scheda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art. 23</w:t>
            </w:r>
          </w:p>
        </w:tc>
        <w:tc>
          <w:tcPr>
            <w:tcW w:w="3544" w:type="dxa"/>
            <w:tcBorders>
              <w:top w:val="nil"/>
              <w:left w:val="nil"/>
              <w:bottom w:val="single" w:sz="4" w:space="0" w:color="000000"/>
              <w:right w:val="single" w:sz="4" w:space="0" w:color="000000"/>
            </w:tcBorders>
            <w:shd w:val="clear" w:color="auto" w:fill="auto"/>
            <w:hideMark/>
          </w:tcPr>
          <w:p w14:paraId="04FB533B"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Descrizione del contenuto dei dati</w:t>
            </w:r>
          </w:p>
        </w:tc>
        <w:tc>
          <w:tcPr>
            <w:tcW w:w="3118" w:type="dxa"/>
            <w:tcBorders>
              <w:top w:val="single" w:sz="4" w:space="0" w:color="000000"/>
              <w:left w:val="nil"/>
              <w:bottom w:val="single" w:sz="4" w:space="0" w:color="000000"/>
              <w:right w:val="single" w:sz="4" w:space="0" w:color="000000"/>
            </w:tcBorders>
            <w:shd w:val="clear" w:color="auto" w:fill="auto"/>
            <w:hideMark/>
          </w:tcPr>
          <w:p w14:paraId="38B49F07"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Riferimento normativo</w:t>
            </w:r>
          </w:p>
        </w:tc>
      </w:tr>
      <w:tr w:rsidR="00041B26" w:rsidRPr="00CF5DD9" w14:paraId="77A870F2" w14:textId="77777777" w:rsidTr="0093082B">
        <w:trPr>
          <w:trHeight w:val="1279"/>
        </w:trPr>
        <w:tc>
          <w:tcPr>
            <w:tcW w:w="1980" w:type="dxa"/>
            <w:tcBorders>
              <w:top w:val="nil"/>
              <w:left w:val="single" w:sz="4" w:space="0" w:color="000000"/>
              <w:bottom w:val="single" w:sz="4" w:space="0" w:color="000000"/>
              <w:right w:val="single" w:sz="4" w:space="0" w:color="000000"/>
            </w:tcBorders>
            <w:shd w:val="clear" w:color="auto" w:fill="auto"/>
            <w:hideMark/>
          </w:tcPr>
          <w:p w14:paraId="7F94055D"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speciali</w:t>
            </w:r>
          </w:p>
        </w:tc>
        <w:tc>
          <w:tcPr>
            <w:tcW w:w="992" w:type="dxa"/>
            <w:tcBorders>
              <w:top w:val="nil"/>
              <w:left w:val="nil"/>
              <w:bottom w:val="single" w:sz="4" w:space="0" w:color="000000"/>
              <w:right w:val="single" w:sz="4" w:space="0" w:color="000000"/>
            </w:tcBorders>
            <w:shd w:val="clear" w:color="auto" w:fill="auto"/>
            <w:hideMark/>
          </w:tcPr>
          <w:p w14:paraId="6C9ECA0D"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P1_15</w:t>
            </w:r>
          </w:p>
        </w:tc>
        <w:tc>
          <w:tcPr>
            <w:tcW w:w="3544" w:type="dxa"/>
            <w:tcBorders>
              <w:top w:val="nil"/>
              <w:left w:val="nil"/>
              <w:bottom w:val="single" w:sz="4" w:space="0" w:color="000000"/>
              <w:right w:val="single" w:sz="4" w:space="0" w:color="000000"/>
            </w:tcBorders>
            <w:shd w:val="clear" w:color="auto" w:fill="auto"/>
            <w:hideMark/>
          </w:tcPr>
          <w:p w14:paraId="22BA4BF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Avviso sull'esistenza di un sistema di qualificazione</w:t>
            </w:r>
          </w:p>
        </w:tc>
        <w:tc>
          <w:tcPr>
            <w:tcW w:w="3118" w:type="dxa"/>
            <w:tcBorders>
              <w:top w:val="single" w:sz="4" w:space="0" w:color="000000"/>
              <w:left w:val="nil"/>
              <w:bottom w:val="single" w:sz="4" w:space="0" w:color="000000"/>
              <w:right w:val="single" w:sz="4" w:space="0" w:color="000000"/>
            </w:tcBorders>
            <w:shd w:val="clear" w:color="auto" w:fill="auto"/>
            <w:hideMark/>
          </w:tcPr>
          <w:p w14:paraId="5FFFE95D"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68 della direttiva 2014/25/UE, articolo 92, paragrafo 1,</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lettera c), della direttiva 2014/25/UE</w:t>
            </w:r>
            <w:r w:rsidRPr="00CF5DD9">
              <w:rPr>
                <w:rFonts w:ascii="Arial" w:eastAsia="Times New Roman" w:hAnsi="Arial" w:cs="Arial"/>
                <w:kern w:val="0"/>
                <w:sz w:val="20"/>
                <w:szCs w:val="20"/>
                <w:lang w:eastAsia="it-IT"/>
              </w:rPr>
              <w:br/>
              <w:t>Articolo 162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 xml:space="preserve">Articolo 164 decreto </w:t>
            </w:r>
            <w:r w:rsidRPr="00CF5DD9">
              <w:rPr>
                <w:rFonts w:ascii="Arial" w:eastAsia="Times New Roman" w:hAnsi="Arial" w:cs="Arial"/>
                <w:kern w:val="0"/>
                <w:sz w:val="20"/>
                <w:szCs w:val="20"/>
                <w:lang w:eastAsia="it-IT"/>
              </w:rPr>
              <w:lastRenderedPageBreak/>
              <w:t>legislativo 36/2023</w:t>
            </w:r>
          </w:p>
        </w:tc>
      </w:tr>
      <w:tr w:rsidR="00041B26" w:rsidRPr="00CF5DD9" w14:paraId="6DF6496E" w14:textId="77777777" w:rsidTr="0093082B">
        <w:trPr>
          <w:trHeight w:val="1579"/>
        </w:trPr>
        <w:tc>
          <w:tcPr>
            <w:tcW w:w="1980" w:type="dxa"/>
            <w:tcBorders>
              <w:top w:val="nil"/>
              <w:left w:val="single" w:sz="4" w:space="0" w:color="000000"/>
              <w:bottom w:val="single" w:sz="4" w:space="0" w:color="000000"/>
              <w:right w:val="single" w:sz="4" w:space="0" w:color="000000"/>
            </w:tcBorders>
            <w:shd w:val="clear" w:color="auto" w:fill="auto"/>
            <w:hideMark/>
          </w:tcPr>
          <w:p w14:paraId="1401DDCA"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lastRenderedPageBreak/>
              <w:t>concessioni</w:t>
            </w:r>
          </w:p>
        </w:tc>
        <w:tc>
          <w:tcPr>
            <w:tcW w:w="992" w:type="dxa"/>
            <w:tcBorders>
              <w:top w:val="nil"/>
              <w:left w:val="nil"/>
              <w:bottom w:val="single" w:sz="4" w:space="0" w:color="000000"/>
              <w:right w:val="single" w:sz="4" w:space="0" w:color="000000"/>
            </w:tcBorders>
            <w:shd w:val="clear" w:color="auto" w:fill="auto"/>
            <w:hideMark/>
          </w:tcPr>
          <w:p w14:paraId="26A65B30" w14:textId="77777777" w:rsidR="00CF5DD9" w:rsidRPr="00CF5DD9" w:rsidRDefault="00CF5DD9" w:rsidP="00CF5DD9">
            <w:pPr>
              <w:jc w:val="center"/>
              <w:rPr>
                <w:rFonts w:eastAsia="Times New Roman"/>
                <w:color w:val="000000"/>
                <w:kern w:val="0"/>
                <w:sz w:val="20"/>
                <w:szCs w:val="20"/>
                <w:lang w:eastAsia="it-IT"/>
              </w:rPr>
            </w:pPr>
            <w:r w:rsidRPr="00CF5DD9">
              <w:rPr>
                <w:rFonts w:ascii="Arial" w:eastAsia="Times New Roman" w:hAnsi="Arial" w:cs="Arial"/>
                <w:kern w:val="0"/>
                <w:sz w:val="20"/>
                <w:szCs w:val="20"/>
                <w:lang w:eastAsia="it-IT"/>
              </w:rPr>
              <w:t>P4</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A4</w:t>
            </w:r>
          </w:p>
        </w:tc>
        <w:tc>
          <w:tcPr>
            <w:tcW w:w="3544" w:type="dxa"/>
            <w:tcBorders>
              <w:top w:val="nil"/>
              <w:left w:val="nil"/>
              <w:bottom w:val="single" w:sz="4" w:space="0" w:color="000000"/>
              <w:right w:val="single" w:sz="4" w:space="0" w:color="000000"/>
            </w:tcBorders>
            <w:shd w:val="clear" w:color="auto" w:fill="auto"/>
            <w:hideMark/>
          </w:tcPr>
          <w:p w14:paraId="5704FAE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Finanza di progetto</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Locazione finanziaria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Contratto di disponibilità</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Contratto EPC</w:t>
            </w:r>
            <w:r w:rsidRPr="00CF5DD9">
              <w:rPr>
                <w:rFonts w:ascii="Arial" w:eastAsia="Times New Roman" w:hAnsi="Arial" w:cs="Arial"/>
                <w:kern w:val="0"/>
                <w:sz w:val="20"/>
                <w:szCs w:val="20"/>
                <w:lang w:eastAsia="it-IT"/>
              </w:rPr>
              <w:br/>
              <w:t>Concessione di servizi e costruzione e gestione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Contratti di partenariato sociale</w:t>
            </w:r>
          </w:p>
        </w:tc>
        <w:tc>
          <w:tcPr>
            <w:tcW w:w="3118" w:type="dxa"/>
            <w:tcBorders>
              <w:top w:val="single" w:sz="4" w:space="0" w:color="000000"/>
              <w:left w:val="nil"/>
              <w:bottom w:val="single" w:sz="4" w:space="0" w:color="000000"/>
              <w:right w:val="single" w:sz="4" w:space="0" w:color="000000"/>
            </w:tcBorders>
            <w:shd w:val="clear" w:color="auto" w:fill="auto"/>
            <w:hideMark/>
          </w:tcPr>
          <w:p w14:paraId="75197DA6"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31, paragrafo 1, della direttiva 2014/23/UE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174 comma 3 decreto legislativo 36/2023</w:t>
            </w:r>
            <w:r w:rsidRPr="00CF5DD9">
              <w:rPr>
                <w:rFonts w:ascii="Arial" w:eastAsia="Times New Roman" w:hAnsi="Arial" w:cs="Arial"/>
                <w:kern w:val="0"/>
                <w:sz w:val="20"/>
                <w:szCs w:val="20"/>
                <w:lang w:eastAsia="it-IT"/>
              </w:rPr>
              <w:br/>
              <w:t>Articolo 182 comma 11 primo periodo e comma 12 decreto</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legislativo 36/2023</w:t>
            </w:r>
          </w:p>
        </w:tc>
      </w:tr>
      <w:tr w:rsidR="00041B26" w:rsidRPr="00CF5DD9" w14:paraId="48E2F635" w14:textId="77777777" w:rsidTr="0093082B">
        <w:trPr>
          <w:trHeight w:val="799"/>
        </w:trPr>
        <w:tc>
          <w:tcPr>
            <w:tcW w:w="1980" w:type="dxa"/>
            <w:tcBorders>
              <w:top w:val="nil"/>
              <w:left w:val="single" w:sz="4" w:space="0" w:color="000000"/>
              <w:bottom w:val="single" w:sz="4" w:space="0" w:color="000000"/>
              <w:right w:val="single" w:sz="4" w:space="0" w:color="000000"/>
            </w:tcBorders>
            <w:shd w:val="clear" w:color="auto" w:fill="auto"/>
            <w:hideMark/>
          </w:tcPr>
          <w:p w14:paraId="1C6BF22E" w14:textId="77777777" w:rsidR="00CF5DD9" w:rsidRPr="00CF5DD9" w:rsidRDefault="00CF5DD9" w:rsidP="00CF5DD9">
            <w:pPr>
              <w:rPr>
                <w:rFonts w:eastAsia="Times New Roman"/>
                <w:color w:val="000000"/>
                <w:kern w:val="0"/>
                <w:sz w:val="20"/>
                <w:szCs w:val="20"/>
                <w:lang w:eastAsia="it-IT"/>
              </w:rPr>
            </w:pPr>
            <w:r w:rsidRPr="00CF5DD9">
              <w:rPr>
                <w:rFonts w:eastAsia="Times New Roman"/>
                <w:color w:val="000000"/>
                <w:kern w:val="0"/>
                <w:sz w:val="20"/>
                <w:szCs w:val="20"/>
                <w:lang w:eastAsia="it-IT"/>
              </w:rPr>
              <w:t> </w:t>
            </w:r>
          </w:p>
        </w:tc>
        <w:tc>
          <w:tcPr>
            <w:tcW w:w="992" w:type="dxa"/>
            <w:tcBorders>
              <w:top w:val="nil"/>
              <w:left w:val="nil"/>
              <w:bottom w:val="single" w:sz="4" w:space="0" w:color="000000"/>
              <w:right w:val="single" w:sz="4" w:space="0" w:color="000000"/>
            </w:tcBorders>
            <w:shd w:val="clear" w:color="auto" w:fill="auto"/>
            <w:hideMark/>
          </w:tcPr>
          <w:p w14:paraId="743693D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P3_4</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A3_4</w:t>
            </w:r>
          </w:p>
        </w:tc>
        <w:tc>
          <w:tcPr>
            <w:tcW w:w="3544" w:type="dxa"/>
            <w:tcBorders>
              <w:top w:val="nil"/>
              <w:left w:val="nil"/>
              <w:bottom w:val="single" w:sz="4" w:space="0" w:color="000000"/>
              <w:right w:val="single" w:sz="4" w:space="0" w:color="000000"/>
            </w:tcBorders>
            <w:shd w:val="clear" w:color="auto" w:fill="auto"/>
            <w:hideMark/>
          </w:tcPr>
          <w:p w14:paraId="6CD39E96"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Affidamento a contraente generale</w:t>
            </w:r>
          </w:p>
        </w:tc>
        <w:tc>
          <w:tcPr>
            <w:tcW w:w="3118" w:type="dxa"/>
            <w:tcBorders>
              <w:top w:val="single" w:sz="4" w:space="0" w:color="000000"/>
              <w:left w:val="nil"/>
              <w:bottom w:val="single" w:sz="4" w:space="0" w:color="000000"/>
              <w:right w:val="single" w:sz="4" w:space="0" w:color="000000"/>
            </w:tcBorders>
            <w:shd w:val="clear" w:color="auto" w:fill="auto"/>
            <w:hideMark/>
          </w:tcPr>
          <w:p w14:paraId="0D77D2E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Artt. 204 decreto legislativo 36/2023</w:t>
            </w:r>
            <w:r w:rsidRPr="00CF5DD9">
              <w:rPr>
                <w:rFonts w:ascii="Arial" w:eastAsia="Times New Roman" w:hAnsi="Arial" w:cs="Arial"/>
                <w:kern w:val="0"/>
                <w:sz w:val="20"/>
                <w:szCs w:val="20"/>
                <w:lang w:eastAsia="it-IT"/>
              </w:rPr>
              <w:br/>
              <w:t>Articolo 205 comma 6 e comma 7 decreto legislativo 36/2023</w:t>
            </w:r>
          </w:p>
        </w:tc>
      </w:tr>
      <w:tr w:rsidR="00041B26" w:rsidRPr="00CF5DD9" w14:paraId="490EC01D" w14:textId="77777777" w:rsidTr="0093082B">
        <w:trPr>
          <w:trHeight w:val="600"/>
        </w:trPr>
        <w:tc>
          <w:tcPr>
            <w:tcW w:w="1980" w:type="dxa"/>
            <w:tcBorders>
              <w:top w:val="nil"/>
              <w:left w:val="single" w:sz="4" w:space="0" w:color="000000"/>
              <w:bottom w:val="single" w:sz="4" w:space="0" w:color="000000"/>
              <w:right w:val="single" w:sz="4" w:space="0" w:color="000000"/>
            </w:tcBorders>
            <w:shd w:val="clear" w:color="auto" w:fill="auto"/>
            <w:hideMark/>
          </w:tcPr>
          <w:p w14:paraId="460C269F" w14:textId="77777777" w:rsidR="00CF5DD9" w:rsidRPr="00CF5DD9" w:rsidRDefault="00CF5DD9" w:rsidP="00CF5DD9">
            <w:pPr>
              <w:rPr>
                <w:rFonts w:eastAsia="Times New Roman"/>
                <w:color w:val="000000"/>
                <w:kern w:val="0"/>
                <w:sz w:val="20"/>
                <w:szCs w:val="20"/>
                <w:lang w:eastAsia="it-IT"/>
              </w:rPr>
            </w:pPr>
            <w:r w:rsidRPr="00CF5DD9">
              <w:rPr>
                <w:rFonts w:eastAsia="Times New Roman"/>
                <w:color w:val="000000"/>
                <w:kern w:val="0"/>
                <w:sz w:val="20"/>
                <w:szCs w:val="20"/>
                <w:lang w:eastAsia="it-IT"/>
              </w:rPr>
              <w:t> </w:t>
            </w:r>
          </w:p>
        </w:tc>
        <w:tc>
          <w:tcPr>
            <w:tcW w:w="992" w:type="dxa"/>
            <w:tcBorders>
              <w:top w:val="nil"/>
              <w:left w:val="nil"/>
              <w:bottom w:val="single" w:sz="4" w:space="0" w:color="000000"/>
              <w:right w:val="single" w:sz="4" w:space="0" w:color="000000"/>
            </w:tcBorders>
            <w:shd w:val="clear" w:color="auto" w:fill="auto"/>
            <w:hideMark/>
          </w:tcPr>
          <w:p w14:paraId="5B3273A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P3_5</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A3_5</w:t>
            </w:r>
          </w:p>
        </w:tc>
        <w:tc>
          <w:tcPr>
            <w:tcW w:w="3544" w:type="dxa"/>
            <w:tcBorders>
              <w:top w:val="nil"/>
              <w:left w:val="nil"/>
              <w:bottom w:val="single" w:sz="4" w:space="0" w:color="000000"/>
              <w:right w:val="single" w:sz="4" w:space="0" w:color="000000"/>
            </w:tcBorders>
            <w:shd w:val="clear" w:color="auto" w:fill="auto"/>
            <w:hideMark/>
          </w:tcPr>
          <w:p w14:paraId="398BE254"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Scelta del socio privato nella società mista</w:t>
            </w:r>
          </w:p>
        </w:tc>
        <w:tc>
          <w:tcPr>
            <w:tcW w:w="3118" w:type="dxa"/>
            <w:tcBorders>
              <w:top w:val="single" w:sz="4" w:space="0" w:color="000000"/>
              <w:left w:val="nil"/>
              <w:bottom w:val="single" w:sz="4" w:space="0" w:color="000000"/>
              <w:right w:val="single" w:sz="4" w:space="0" w:color="000000"/>
            </w:tcBorders>
            <w:shd w:val="clear" w:color="auto" w:fill="auto"/>
            <w:hideMark/>
          </w:tcPr>
          <w:p w14:paraId="4676726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 13 c. 3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17 decreto legislativo 175/2016</w:t>
            </w:r>
          </w:p>
        </w:tc>
      </w:tr>
      <w:tr w:rsidR="00041B26" w:rsidRPr="00CF5DD9" w14:paraId="69275812" w14:textId="77777777" w:rsidTr="0093082B">
        <w:trPr>
          <w:trHeight w:val="522"/>
        </w:trPr>
        <w:tc>
          <w:tcPr>
            <w:tcW w:w="1980" w:type="dxa"/>
            <w:tcBorders>
              <w:top w:val="nil"/>
              <w:left w:val="single" w:sz="4" w:space="0" w:color="000000"/>
              <w:bottom w:val="single" w:sz="4" w:space="0" w:color="000000"/>
              <w:right w:val="single" w:sz="4" w:space="0" w:color="000000"/>
            </w:tcBorders>
            <w:shd w:val="clear" w:color="auto" w:fill="auto"/>
            <w:hideMark/>
          </w:tcPr>
          <w:p w14:paraId="55ED004F" w14:textId="77777777" w:rsidR="00CF5DD9" w:rsidRPr="00CF5DD9" w:rsidRDefault="00CF5DD9" w:rsidP="00CF5DD9">
            <w:pPr>
              <w:rPr>
                <w:rFonts w:eastAsia="Times New Roman"/>
                <w:color w:val="000000"/>
                <w:kern w:val="0"/>
                <w:sz w:val="20"/>
                <w:szCs w:val="20"/>
                <w:lang w:eastAsia="it-IT"/>
              </w:rPr>
            </w:pPr>
            <w:r w:rsidRPr="00CF5DD9">
              <w:rPr>
                <w:rFonts w:eastAsia="Times New Roman"/>
                <w:color w:val="000000"/>
                <w:kern w:val="0"/>
                <w:sz w:val="20"/>
                <w:szCs w:val="20"/>
                <w:lang w:eastAsia="it-IT"/>
              </w:rPr>
              <w:t> </w:t>
            </w:r>
          </w:p>
        </w:tc>
        <w:tc>
          <w:tcPr>
            <w:tcW w:w="992" w:type="dxa"/>
            <w:tcBorders>
              <w:top w:val="nil"/>
              <w:left w:val="nil"/>
              <w:bottom w:val="single" w:sz="4" w:space="0" w:color="000000"/>
              <w:right w:val="single" w:sz="4" w:space="0" w:color="000000"/>
            </w:tcBorders>
            <w:shd w:val="clear" w:color="auto" w:fill="auto"/>
            <w:hideMark/>
          </w:tcPr>
          <w:p w14:paraId="0031C67F"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A3_6</w:t>
            </w:r>
          </w:p>
        </w:tc>
        <w:tc>
          <w:tcPr>
            <w:tcW w:w="3544" w:type="dxa"/>
            <w:tcBorders>
              <w:top w:val="nil"/>
              <w:left w:val="nil"/>
              <w:bottom w:val="single" w:sz="4" w:space="0" w:color="000000"/>
              <w:right w:val="single" w:sz="4" w:space="0" w:color="000000"/>
            </w:tcBorders>
            <w:shd w:val="clear" w:color="auto" w:fill="auto"/>
            <w:hideMark/>
          </w:tcPr>
          <w:p w14:paraId="1098A9EA"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affidamento a società in house</w:t>
            </w:r>
          </w:p>
        </w:tc>
        <w:tc>
          <w:tcPr>
            <w:tcW w:w="3118" w:type="dxa"/>
            <w:tcBorders>
              <w:top w:val="single" w:sz="4" w:space="0" w:color="000000"/>
              <w:left w:val="nil"/>
              <w:bottom w:val="single" w:sz="4" w:space="0" w:color="000000"/>
              <w:right w:val="single" w:sz="4" w:space="0" w:color="000000"/>
            </w:tcBorders>
            <w:shd w:val="clear" w:color="auto" w:fill="auto"/>
            <w:hideMark/>
          </w:tcPr>
          <w:p w14:paraId="4BBB3D3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7 decreto legislativo 36/2023</w:t>
            </w:r>
            <w:r w:rsidRPr="00CF5DD9">
              <w:rPr>
                <w:rFonts w:ascii="Arial" w:eastAsia="Times New Roman" w:hAnsi="Arial" w:cs="Arial"/>
                <w:kern w:val="0"/>
                <w:sz w:val="20"/>
                <w:szCs w:val="20"/>
                <w:lang w:eastAsia="it-IT"/>
              </w:rPr>
              <w:br/>
              <w:t>Articolo 120 comma 3 decreto legislativo 104/2010</w:t>
            </w:r>
          </w:p>
        </w:tc>
      </w:tr>
      <w:tr w:rsidR="00CF5DD9" w:rsidRPr="00CF5DD9" w14:paraId="0716D8DB" w14:textId="77777777" w:rsidTr="0093082B">
        <w:trPr>
          <w:trHeight w:val="642"/>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56AA3B3"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AGGIUDICAZIONE PROCEDURE PARI O SOPRA SOGLIA</w:t>
            </w:r>
          </w:p>
        </w:tc>
      </w:tr>
      <w:tr w:rsidR="00041B26" w:rsidRPr="00CF5DD9" w14:paraId="690F8647"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128A0056"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pari /sopra soglia 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ordinari</w:t>
            </w:r>
          </w:p>
        </w:tc>
        <w:tc>
          <w:tcPr>
            <w:tcW w:w="992" w:type="dxa"/>
            <w:tcBorders>
              <w:top w:val="nil"/>
              <w:left w:val="nil"/>
              <w:bottom w:val="single" w:sz="4" w:space="0" w:color="000000"/>
              <w:right w:val="single" w:sz="4" w:space="0" w:color="000000"/>
            </w:tcBorders>
            <w:shd w:val="clear" w:color="auto" w:fill="auto"/>
            <w:hideMark/>
          </w:tcPr>
          <w:p w14:paraId="533B8E4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A1.29</w:t>
            </w:r>
          </w:p>
        </w:tc>
        <w:tc>
          <w:tcPr>
            <w:tcW w:w="3544" w:type="dxa"/>
            <w:tcBorders>
              <w:top w:val="nil"/>
              <w:left w:val="nil"/>
              <w:bottom w:val="single" w:sz="4" w:space="0" w:color="000000"/>
              <w:right w:val="single" w:sz="4" w:space="0" w:color="000000"/>
            </w:tcBorders>
            <w:shd w:val="clear" w:color="auto" w:fill="auto"/>
            <w:hideMark/>
          </w:tcPr>
          <w:p w14:paraId="2ECD112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aggiudicazione direttiva generale, regime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0C16FDB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della direttiva 2014/24/UE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111 deceto legislativo 36/2023</w:t>
            </w:r>
          </w:p>
        </w:tc>
      </w:tr>
      <w:tr w:rsidR="00041B26" w:rsidRPr="00CF5DD9" w14:paraId="7AA65EFC"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139F523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pari /sopra sogliasettori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speciali</w:t>
            </w:r>
          </w:p>
        </w:tc>
        <w:tc>
          <w:tcPr>
            <w:tcW w:w="992" w:type="dxa"/>
            <w:tcBorders>
              <w:top w:val="nil"/>
              <w:left w:val="nil"/>
              <w:bottom w:val="single" w:sz="4" w:space="0" w:color="000000"/>
              <w:right w:val="single" w:sz="4" w:space="0" w:color="000000"/>
            </w:tcBorders>
            <w:shd w:val="clear" w:color="auto" w:fill="auto"/>
            <w:hideMark/>
          </w:tcPr>
          <w:p w14:paraId="622214EB"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A1.30</w:t>
            </w:r>
          </w:p>
        </w:tc>
        <w:tc>
          <w:tcPr>
            <w:tcW w:w="3544" w:type="dxa"/>
            <w:tcBorders>
              <w:top w:val="nil"/>
              <w:left w:val="nil"/>
              <w:bottom w:val="single" w:sz="4" w:space="0" w:color="000000"/>
              <w:right w:val="single" w:sz="4" w:space="0" w:color="000000"/>
            </w:tcBorders>
            <w:shd w:val="clear" w:color="auto" w:fill="auto"/>
            <w:hideMark/>
          </w:tcPr>
          <w:p w14:paraId="50896EC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aggiudicazione direttiva settoriale, regime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436AFE3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70 della direttiva 2014/25/UE</w:t>
            </w:r>
            <w:r w:rsidRPr="00CF5DD9">
              <w:rPr>
                <w:rFonts w:ascii="Arial" w:eastAsia="Times New Roman" w:hAnsi="Arial" w:cs="Arial"/>
                <w:kern w:val="0"/>
                <w:sz w:val="20"/>
                <w:szCs w:val="20"/>
                <w:lang w:eastAsia="it-IT"/>
              </w:rPr>
              <w:br/>
              <w:t>Articolo 163 comma 2 deceto legislativo36/2023</w:t>
            </w:r>
          </w:p>
        </w:tc>
      </w:tr>
      <w:tr w:rsidR="00041B26" w:rsidRPr="00CF5DD9" w14:paraId="16AD7BD2"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5B96EACC"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pari /sopra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settore difesa e sicurezza</w:t>
            </w:r>
          </w:p>
        </w:tc>
        <w:tc>
          <w:tcPr>
            <w:tcW w:w="992" w:type="dxa"/>
            <w:tcBorders>
              <w:top w:val="nil"/>
              <w:left w:val="nil"/>
              <w:bottom w:val="single" w:sz="4" w:space="0" w:color="000000"/>
              <w:right w:val="single" w:sz="4" w:space="0" w:color="000000"/>
            </w:tcBorders>
            <w:shd w:val="clear" w:color="auto" w:fill="auto"/>
            <w:hideMark/>
          </w:tcPr>
          <w:p w14:paraId="47BA7AB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A1.31</w:t>
            </w:r>
          </w:p>
        </w:tc>
        <w:tc>
          <w:tcPr>
            <w:tcW w:w="3544" w:type="dxa"/>
            <w:tcBorders>
              <w:top w:val="nil"/>
              <w:left w:val="nil"/>
              <w:bottom w:val="single" w:sz="4" w:space="0" w:color="000000"/>
              <w:right w:val="single" w:sz="4" w:space="0" w:color="000000"/>
            </w:tcBorders>
            <w:shd w:val="clear" w:color="auto" w:fill="auto"/>
            <w:hideMark/>
          </w:tcPr>
          <w:p w14:paraId="58017EF6"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Avviso aggiudicazione di un appalto direttiva difesa</w:t>
            </w:r>
          </w:p>
        </w:tc>
        <w:tc>
          <w:tcPr>
            <w:tcW w:w="3118" w:type="dxa"/>
            <w:tcBorders>
              <w:top w:val="single" w:sz="4" w:space="0" w:color="000000"/>
              <w:left w:val="nil"/>
              <w:bottom w:val="single" w:sz="4" w:space="0" w:color="000000"/>
              <w:right w:val="single" w:sz="4" w:space="0" w:color="000000"/>
            </w:tcBorders>
            <w:shd w:val="clear" w:color="auto" w:fill="auto"/>
            <w:hideMark/>
          </w:tcPr>
          <w:p w14:paraId="4C70991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30, paragrafo 3, della direttiva 2009/81/CE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23 decreto legislativo 208/2011</w:t>
            </w:r>
          </w:p>
        </w:tc>
      </w:tr>
      <w:tr w:rsidR="00041B26" w:rsidRPr="00CF5DD9" w14:paraId="2B3A8BE2"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1873DBD1"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concessioni sopra soglia</w:t>
            </w:r>
          </w:p>
        </w:tc>
        <w:tc>
          <w:tcPr>
            <w:tcW w:w="992" w:type="dxa"/>
            <w:tcBorders>
              <w:top w:val="nil"/>
              <w:left w:val="nil"/>
              <w:bottom w:val="single" w:sz="4" w:space="0" w:color="000000"/>
              <w:right w:val="single" w:sz="4" w:space="0" w:color="000000"/>
            </w:tcBorders>
            <w:shd w:val="clear" w:color="auto" w:fill="auto"/>
            <w:hideMark/>
          </w:tcPr>
          <w:p w14:paraId="2FC4A111"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A1.32</w:t>
            </w:r>
          </w:p>
        </w:tc>
        <w:tc>
          <w:tcPr>
            <w:tcW w:w="3544" w:type="dxa"/>
            <w:tcBorders>
              <w:top w:val="nil"/>
              <w:left w:val="nil"/>
              <w:bottom w:val="single" w:sz="4" w:space="0" w:color="000000"/>
              <w:right w:val="single" w:sz="4" w:space="0" w:color="000000"/>
            </w:tcBorders>
            <w:shd w:val="clear" w:color="auto" w:fill="auto"/>
            <w:hideMark/>
          </w:tcPr>
          <w:p w14:paraId="2563CF3C"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aggiudicazione di una concessione,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concessioni, regime ordinario</w:t>
            </w:r>
          </w:p>
        </w:tc>
        <w:tc>
          <w:tcPr>
            <w:tcW w:w="3118" w:type="dxa"/>
            <w:tcBorders>
              <w:top w:val="single" w:sz="4" w:space="0" w:color="000000"/>
              <w:left w:val="nil"/>
              <w:bottom w:val="single" w:sz="4" w:space="0" w:color="000000"/>
              <w:right w:val="single" w:sz="4" w:space="0" w:color="000000"/>
            </w:tcBorders>
            <w:shd w:val="clear" w:color="auto" w:fill="auto"/>
            <w:hideMark/>
          </w:tcPr>
          <w:p w14:paraId="0112044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32, paragrafo 2 (riferimento all’allegato VII), della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direttiva 2014/23/UE</w:t>
            </w:r>
            <w:r w:rsidRPr="00CF5DD9">
              <w:rPr>
                <w:rFonts w:ascii="Arial" w:eastAsia="Times New Roman" w:hAnsi="Arial" w:cs="Arial"/>
                <w:kern w:val="0"/>
                <w:sz w:val="20"/>
                <w:szCs w:val="20"/>
                <w:lang w:eastAsia="it-IT"/>
              </w:rPr>
              <w:br/>
              <w:t>Articolo 182.comma 11 secondo periodo e comma 12 decrto</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legislativo 36/2023</w:t>
            </w:r>
          </w:p>
        </w:tc>
      </w:tr>
      <w:tr w:rsidR="00041B26" w:rsidRPr="00CF5DD9" w14:paraId="385464A2"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0015152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pari /sopra soglia 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ordinari regime alleggerito</w:t>
            </w:r>
          </w:p>
        </w:tc>
        <w:tc>
          <w:tcPr>
            <w:tcW w:w="992" w:type="dxa"/>
            <w:tcBorders>
              <w:top w:val="nil"/>
              <w:left w:val="nil"/>
              <w:bottom w:val="single" w:sz="4" w:space="0" w:color="000000"/>
              <w:right w:val="single" w:sz="4" w:space="0" w:color="000000"/>
            </w:tcBorders>
            <w:shd w:val="clear" w:color="auto" w:fill="auto"/>
            <w:hideMark/>
          </w:tcPr>
          <w:p w14:paraId="43D9330D"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A1.33</w:t>
            </w:r>
          </w:p>
        </w:tc>
        <w:tc>
          <w:tcPr>
            <w:tcW w:w="3544" w:type="dxa"/>
            <w:tcBorders>
              <w:top w:val="nil"/>
              <w:left w:val="nil"/>
              <w:bottom w:val="single" w:sz="4" w:space="0" w:color="000000"/>
              <w:right w:val="single" w:sz="4" w:space="0" w:color="000000"/>
            </w:tcBorders>
            <w:shd w:val="clear" w:color="auto" w:fill="auto"/>
            <w:hideMark/>
          </w:tcPr>
          <w:p w14:paraId="7E884C8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aggiudicazione di un appalto,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generale, regime allegerito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4DEDD6C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75, paragrafo 2, della direttiva 2014/24/UE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127 comma 3 deceto legislativo 36/2023</w:t>
            </w:r>
          </w:p>
        </w:tc>
      </w:tr>
      <w:tr w:rsidR="00041B26" w:rsidRPr="00CF5DD9" w14:paraId="01600F02"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18A56F6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pari /sopra soglia 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speciali regime alleggerito</w:t>
            </w:r>
          </w:p>
        </w:tc>
        <w:tc>
          <w:tcPr>
            <w:tcW w:w="992" w:type="dxa"/>
            <w:tcBorders>
              <w:top w:val="nil"/>
              <w:left w:val="nil"/>
              <w:bottom w:val="single" w:sz="4" w:space="0" w:color="000000"/>
              <w:right w:val="single" w:sz="4" w:space="0" w:color="000000"/>
            </w:tcBorders>
            <w:shd w:val="clear" w:color="auto" w:fill="auto"/>
            <w:hideMark/>
          </w:tcPr>
          <w:p w14:paraId="1DAE6528"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A1.34</w:t>
            </w:r>
          </w:p>
        </w:tc>
        <w:tc>
          <w:tcPr>
            <w:tcW w:w="3544" w:type="dxa"/>
            <w:tcBorders>
              <w:top w:val="nil"/>
              <w:left w:val="nil"/>
              <w:bottom w:val="single" w:sz="4" w:space="0" w:color="000000"/>
              <w:right w:val="single" w:sz="4" w:space="0" w:color="000000"/>
            </w:tcBorders>
            <w:shd w:val="clear" w:color="auto" w:fill="auto"/>
            <w:hideMark/>
          </w:tcPr>
          <w:p w14:paraId="466B7A9C"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aggiudicazione di un appalto,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settoriale, regime allegerito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244B8CA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92, paragrafo 2, della direttiva 2014/25/UE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173 deceto legislativo 36/2023</w:t>
            </w:r>
            <w:r w:rsidRPr="00CF5DD9">
              <w:rPr>
                <w:rFonts w:ascii="Arial" w:eastAsia="Times New Roman" w:hAnsi="Arial" w:cs="Arial"/>
                <w:kern w:val="0"/>
                <w:sz w:val="20"/>
                <w:szCs w:val="20"/>
                <w:lang w:eastAsia="it-IT"/>
              </w:rPr>
              <w:br/>
              <w:t>Articolo 127 comma 4 deceto legislativo 36/2023</w:t>
            </w:r>
          </w:p>
        </w:tc>
      </w:tr>
      <w:tr w:rsidR="00041B26" w:rsidRPr="00CF5DD9" w14:paraId="5BABFA9E"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5D2C6A82"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concessioni pari /sopra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regime alleggerito</w:t>
            </w:r>
          </w:p>
        </w:tc>
        <w:tc>
          <w:tcPr>
            <w:tcW w:w="992" w:type="dxa"/>
            <w:tcBorders>
              <w:top w:val="nil"/>
              <w:left w:val="nil"/>
              <w:bottom w:val="single" w:sz="4" w:space="0" w:color="000000"/>
              <w:right w:val="single" w:sz="4" w:space="0" w:color="000000"/>
            </w:tcBorders>
            <w:shd w:val="clear" w:color="auto" w:fill="auto"/>
            <w:hideMark/>
          </w:tcPr>
          <w:p w14:paraId="0BFEF292"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A1.35</w:t>
            </w:r>
          </w:p>
        </w:tc>
        <w:tc>
          <w:tcPr>
            <w:tcW w:w="3544" w:type="dxa"/>
            <w:tcBorders>
              <w:top w:val="nil"/>
              <w:left w:val="nil"/>
              <w:bottom w:val="single" w:sz="4" w:space="0" w:color="000000"/>
              <w:right w:val="single" w:sz="4" w:space="0" w:color="000000"/>
            </w:tcBorders>
            <w:shd w:val="clear" w:color="auto" w:fill="auto"/>
            <w:hideMark/>
          </w:tcPr>
          <w:p w14:paraId="4EAC74D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aggiudicazione di una concessione,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concessioni, regime allegerito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490B904F"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32, paragrafo 2 (riferimento all’allegato</w:t>
            </w:r>
            <w:r w:rsidRPr="00CF5DD9">
              <w:rPr>
                <w:rFonts w:ascii="Arial" w:eastAsia="Times New Roman" w:hAnsi="Arial" w:cs="Arial"/>
                <w:kern w:val="0"/>
                <w:sz w:val="20"/>
                <w:szCs w:val="20"/>
                <w:lang w:eastAsia="it-IT"/>
              </w:rPr>
              <w:br/>
              <w:t>Articolo 182.comma 11 secondo periodo e comma 12 decrto</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legislativo 36/2023</w:t>
            </w:r>
          </w:p>
        </w:tc>
      </w:tr>
      <w:tr w:rsidR="00041B26" w:rsidRPr="00CF5DD9" w14:paraId="78C7FAEF"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6FBA6A0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lastRenderedPageBreak/>
              <w:t>settori ordinari pari /sopra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soglia concorso progettazione</w:t>
            </w:r>
          </w:p>
        </w:tc>
        <w:tc>
          <w:tcPr>
            <w:tcW w:w="992" w:type="dxa"/>
            <w:tcBorders>
              <w:top w:val="nil"/>
              <w:left w:val="nil"/>
              <w:bottom w:val="single" w:sz="4" w:space="0" w:color="000000"/>
              <w:right w:val="single" w:sz="4" w:space="0" w:color="000000"/>
            </w:tcBorders>
            <w:shd w:val="clear" w:color="auto" w:fill="auto"/>
            <w:hideMark/>
          </w:tcPr>
          <w:p w14:paraId="5D822DDD"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A1.36</w:t>
            </w:r>
          </w:p>
        </w:tc>
        <w:tc>
          <w:tcPr>
            <w:tcW w:w="3544" w:type="dxa"/>
            <w:tcBorders>
              <w:top w:val="nil"/>
              <w:left w:val="nil"/>
              <w:bottom w:val="single" w:sz="4" w:space="0" w:color="000000"/>
              <w:right w:val="single" w:sz="4" w:space="0" w:color="000000"/>
            </w:tcBorders>
            <w:shd w:val="clear" w:color="auto" w:fill="auto"/>
            <w:hideMark/>
          </w:tcPr>
          <w:p w14:paraId="66264E6D"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sui risultati di un concorso di progettazione,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direttiva generale, progettazione</w:t>
            </w:r>
          </w:p>
        </w:tc>
        <w:tc>
          <w:tcPr>
            <w:tcW w:w="3118" w:type="dxa"/>
            <w:tcBorders>
              <w:top w:val="single" w:sz="4" w:space="0" w:color="000000"/>
              <w:left w:val="nil"/>
              <w:bottom w:val="single" w:sz="4" w:space="0" w:color="000000"/>
              <w:right w:val="single" w:sz="4" w:space="0" w:color="000000"/>
            </w:tcBorders>
            <w:shd w:val="clear" w:color="auto" w:fill="auto"/>
            <w:hideMark/>
          </w:tcPr>
          <w:p w14:paraId="669B8EF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79, paragrafo 2, della direttiva 2014/24/UE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46 decreto legislativo 36/2023</w:t>
            </w:r>
          </w:p>
        </w:tc>
      </w:tr>
      <w:tr w:rsidR="00041B26" w:rsidRPr="00CF5DD9" w14:paraId="2FE963CD" w14:textId="77777777" w:rsidTr="0093082B">
        <w:trPr>
          <w:trHeight w:val="822"/>
        </w:trPr>
        <w:tc>
          <w:tcPr>
            <w:tcW w:w="1980" w:type="dxa"/>
            <w:tcBorders>
              <w:top w:val="nil"/>
              <w:left w:val="single" w:sz="4" w:space="0" w:color="000000"/>
              <w:bottom w:val="single" w:sz="4" w:space="0" w:color="000000"/>
              <w:right w:val="single" w:sz="4" w:space="0" w:color="000000"/>
            </w:tcBorders>
            <w:shd w:val="clear" w:color="auto" w:fill="auto"/>
            <w:hideMark/>
          </w:tcPr>
          <w:p w14:paraId="2AF289ED"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e procedure</w:t>
            </w:r>
          </w:p>
        </w:tc>
        <w:tc>
          <w:tcPr>
            <w:tcW w:w="992" w:type="dxa"/>
            <w:tcBorders>
              <w:top w:val="nil"/>
              <w:left w:val="nil"/>
              <w:bottom w:val="single" w:sz="4" w:space="0" w:color="000000"/>
              <w:right w:val="single" w:sz="4" w:space="0" w:color="000000"/>
            </w:tcBorders>
            <w:shd w:val="clear" w:color="auto" w:fill="auto"/>
            <w:hideMark/>
          </w:tcPr>
          <w:p w14:paraId="35A2208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Scheda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art. 23</w:t>
            </w:r>
          </w:p>
        </w:tc>
        <w:tc>
          <w:tcPr>
            <w:tcW w:w="3544" w:type="dxa"/>
            <w:tcBorders>
              <w:top w:val="nil"/>
              <w:left w:val="nil"/>
              <w:bottom w:val="single" w:sz="4" w:space="0" w:color="000000"/>
              <w:right w:val="single" w:sz="4" w:space="0" w:color="000000"/>
            </w:tcBorders>
            <w:shd w:val="clear" w:color="auto" w:fill="auto"/>
            <w:hideMark/>
          </w:tcPr>
          <w:p w14:paraId="27C72700"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Descrizione del contenuto dei dati</w:t>
            </w:r>
          </w:p>
        </w:tc>
        <w:tc>
          <w:tcPr>
            <w:tcW w:w="3118" w:type="dxa"/>
            <w:tcBorders>
              <w:top w:val="single" w:sz="4" w:space="0" w:color="000000"/>
              <w:left w:val="nil"/>
              <w:bottom w:val="single" w:sz="4" w:space="0" w:color="000000"/>
              <w:right w:val="single" w:sz="4" w:space="0" w:color="000000"/>
            </w:tcBorders>
            <w:shd w:val="clear" w:color="auto" w:fill="auto"/>
            <w:hideMark/>
          </w:tcPr>
          <w:p w14:paraId="1E2FEED0"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Riferimento normativo</w:t>
            </w:r>
          </w:p>
        </w:tc>
      </w:tr>
      <w:tr w:rsidR="00041B26" w:rsidRPr="00CF5DD9" w14:paraId="205083D5"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27A678D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speciali pari /sopra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soglia concorso progettazione</w:t>
            </w:r>
          </w:p>
        </w:tc>
        <w:tc>
          <w:tcPr>
            <w:tcW w:w="992" w:type="dxa"/>
            <w:tcBorders>
              <w:top w:val="nil"/>
              <w:left w:val="nil"/>
              <w:bottom w:val="single" w:sz="4" w:space="0" w:color="000000"/>
              <w:right w:val="single" w:sz="4" w:space="0" w:color="000000"/>
            </w:tcBorders>
            <w:shd w:val="clear" w:color="auto" w:fill="auto"/>
            <w:hideMark/>
          </w:tcPr>
          <w:p w14:paraId="3876303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A1.37</w:t>
            </w:r>
          </w:p>
        </w:tc>
        <w:tc>
          <w:tcPr>
            <w:tcW w:w="3544" w:type="dxa"/>
            <w:tcBorders>
              <w:top w:val="nil"/>
              <w:left w:val="nil"/>
              <w:bottom w:val="single" w:sz="4" w:space="0" w:color="000000"/>
              <w:right w:val="single" w:sz="4" w:space="0" w:color="000000"/>
            </w:tcBorders>
            <w:shd w:val="clear" w:color="auto" w:fill="auto"/>
            <w:hideMark/>
          </w:tcPr>
          <w:p w14:paraId="29236CB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sui risultati di un concorso di progettazione,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direttiva settoriale, progettazione</w:t>
            </w:r>
          </w:p>
        </w:tc>
        <w:tc>
          <w:tcPr>
            <w:tcW w:w="3118" w:type="dxa"/>
            <w:tcBorders>
              <w:top w:val="single" w:sz="4" w:space="0" w:color="000000"/>
              <w:left w:val="nil"/>
              <w:bottom w:val="single" w:sz="4" w:space="0" w:color="000000"/>
              <w:right w:val="single" w:sz="4" w:space="0" w:color="000000"/>
            </w:tcBorders>
            <w:shd w:val="clear" w:color="auto" w:fill="auto"/>
            <w:hideMark/>
          </w:tcPr>
          <w:p w14:paraId="4F0F7D8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96, paragrafo 1, secondo comma, della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2014/25/UE</w:t>
            </w:r>
            <w:r w:rsidRPr="00CF5DD9">
              <w:rPr>
                <w:rFonts w:ascii="Arial" w:eastAsia="Times New Roman" w:hAnsi="Arial" w:cs="Arial"/>
                <w:kern w:val="0"/>
                <w:sz w:val="20"/>
                <w:szCs w:val="20"/>
                <w:lang w:eastAsia="it-IT"/>
              </w:rPr>
              <w:br/>
              <w:t>Articolo 46 decreto legislativo 36/2023</w:t>
            </w:r>
          </w:p>
        </w:tc>
      </w:tr>
      <w:tr w:rsidR="00CF5DD9" w:rsidRPr="00CF5DD9" w14:paraId="2B624F14" w14:textId="77777777" w:rsidTr="0093082B">
        <w:trPr>
          <w:trHeight w:val="1002"/>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4BDE54A6" w14:textId="77777777" w:rsidR="00CF5DD9" w:rsidRPr="00CF5DD9" w:rsidRDefault="00CF5DD9" w:rsidP="00CF5DD9">
            <w:pPr>
              <w:jc w:val="cente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AGGIUDICAZIONE PROCEDURE SOTTO SOGLIA</w:t>
            </w:r>
          </w:p>
        </w:tc>
      </w:tr>
      <w:tr w:rsidR="00041B26" w:rsidRPr="00CF5DD9" w14:paraId="27A62402"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758085E2"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sotto soglia 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ordinari</w:t>
            </w:r>
          </w:p>
        </w:tc>
        <w:tc>
          <w:tcPr>
            <w:tcW w:w="992" w:type="dxa"/>
            <w:tcBorders>
              <w:top w:val="nil"/>
              <w:left w:val="nil"/>
              <w:bottom w:val="single" w:sz="4" w:space="0" w:color="000000"/>
              <w:right w:val="single" w:sz="4" w:space="0" w:color="000000"/>
            </w:tcBorders>
            <w:shd w:val="clear" w:color="auto" w:fill="auto"/>
            <w:hideMark/>
          </w:tcPr>
          <w:p w14:paraId="5E9D243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A2.29</w:t>
            </w:r>
          </w:p>
        </w:tc>
        <w:tc>
          <w:tcPr>
            <w:tcW w:w="3544" w:type="dxa"/>
            <w:tcBorders>
              <w:top w:val="nil"/>
              <w:left w:val="nil"/>
              <w:bottom w:val="single" w:sz="4" w:space="0" w:color="000000"/>
              <w:right w:val="single" w:sz="4" w:space="0" w:color="000000"/>
            </w:tcBorders>
            <w:shd w:val="clear" w:color="auto" w:fill="auto"/>
            <w:hideMark/>
          </w:tcPr>
          <w:p w14:paraId="4D832839"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Avviso aggiudicazione settori ordinari</w:t>
            </w:r>
          </w:p>
        </w:tc>
        <w:tc>
          <w:tcPr>
            <w:tcW w:w="3118" w:type="dxa"/>
            <w:tcBorders>
              <w:top w:val="single" w:sz="4" w:space="0" w:color="000000"/>
              <w:left w:val="nil"/>
              <w:bottom w:val="single" w:sz="4" w:space="0" w:color="000000"/>
              <w:right w:val="single" w:sz="4" w:space="0" w:color="000000"/>
            </w:tcBorders>
            <w:shd w:val="clear" w:color="auto" w:fill="auto"/>
            <w:hideMark/>
          </w:tcPr>
          <w:p w14:paraId="3BAAEF2B"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50 comma 9 D.Lgs 36/2023</w:t>
            </w:r>
          </w:p>
        </w:tc>
      </w:tr>
      <w:tr w:rsidR="00041B26" w:rsidRPr="00CF5DD9" w14:paraId="28482766"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2BC01CF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sotto soglia 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speciali</w:t>
            </w:r>
          </w:p>
        </w:tc>
        <w:tc>
          <w:tcPr>
            <w:tcW w:w="992" w:type="dxa"/>
            <w:tcBorders>
              <w:top w:val="nil"/>
              <w:left w:val="nil"/>
              <w:bottom w:val="single" w:sz="4" w:space="0" w:color="000000"/>
              <w:right w:val="single" w:sz="4" w:space="0" w:color="000000"/>
            </w:tcBorders>
            <w:shd w:val="clear" w:color="auto" w:fill="auto"/>
            <w:hideMark/>
          </w:tcPr>
          <w:p w14:paraId="0424316F"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A2.30</w:t>
            </w:r>
          </w:p>
        </w:tc>
        <w:tc>
          <w:tcPr>
            <w:tcW w:w="3544" w:type="dxa"/>
            <w:tcBorders>
              <w:top w:val="nil"/>
              <w:left w:val="nil"/>
              <w:bottom w:val="single" w:sz="4" w:space="0" w:color="000000"/>
              <w:right w:val="single" w:sz="4" w:space="0" w:color="000000"/>
            </w:tcBorders>
            <w:shd w:val="clear" w:color="auto" w:fill="auto"/>
            <w:hideMark/>
          </w:tcPr>
          <w:p w14:paraId="7B8932E8"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Avviso aggiudicazione settori speciali</w:t>
            </w:r>
          </w:p>
        </w:tc>
        <w:tc>
          <w:tcPr>
            <w:tcW w:w="3118" w:type="dxa"/>
            <w:tcBorders>
              <w:top w:val="single" w:sz="4" w:space="0" w:color="000000"/>
              <w:left w:val="nil"/>
              <w:bottom w:val="single" w:sz="4" w:space="0" w:color="000000"/>
              <w:right w:val="single" w:sz="4" w:space="0" w:color="000000"/>
            </w:tcBorders>
            <w:shd w:val="clear" w:color="auto" w:fill="auto"/>
            <w:hideMark/>
          </w:tcPr>
          <w:p w14:paraId="5972E85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50 comma 9 decreto legislativo 36/2023</w:t>
            </w:r>
          </w:p>
        </w:tc>
      </w:tr>
      <w:tr w:rsidR="00041B26" w:rsidRPr="00CF5DD9" w14:paraId="4A4432A3"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731C4D1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sotto soglia settore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difesa e sicurezza</w:t>
            </w:r>
          </w:p>
        </w:tc>
        <w:tc>
          <w:tcPr>
            <w:tcW w:w="992" w:type="dxa"/>
            <w:tcBorders>
              <w:top w:val="nil"/>
              <w:left w:val="nil"/>
              <w:bottom w:val="single" w:sz="4" w:space="0" w:color="000000"/>
              <w:right w:val="single" w:sz="4" w:space="0" w:color="000000"/>
            </w:tcBorders>
            <w:shd w:val="clear" w:color="auto" w:fill="auto"/>
            <w:hideMark/>
          </w:tcPr>
          <w:p w14:paraId="1FC57D4A"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A2.31</w:t>
            </w:r>
          </w:p>
        </w:tc>
        <w:tc>
          <w:tcPr>
            <w:tcW w:w="3544" w:type="dxa"/>
            <w:tcBorders>
              <w:top w:val="nil"/>
              <w:left w:val="nil"/>
              <w:bottom w:val="single" w:sz="4" w:space="0" w:color="000000"/>
              <w:right w:val="single" w:sz="4" w:space="0" w:color="000000"/>
            </w:tcBorders>
            <w:shd w:val="clear" w:color="auto" w:fill="auto"/>
            <w:hideMark/>
          </w:tcPr>
          <w:p w14:paraId="766439F3"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Avviso aggiudicazione, settore difesa e sicurezza</w:t>
            </w:r>
          </w:p>
        </w:tc>
        <w:tc>
          <w:tcPr>
            <w:tcW w:w="3118" w:type="dxa"/>
            <w:tcBorders>
              <w:top w:val="single" w:sz="4" w:space="0" w:color="000000"/>
              <w:left w:val="nil"/>
              <w:bottom w:val="single" w:sz="4" w:space="0" w:color="000000"/>
              <w:right w:val="single" w:sz="4" w:space="0" w:color="000000"/>
            </w:tcBorders>
            <w:shd w:val="clear" w:color="auto" w:fill="auto"/>
            <w:hideMark/>
          </w:tcPr>
          <w:p w14:paraId="7E1016B6"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31 decreto legislativo 208/2011</w:t>
            </w:r>
            <w:r w:rsidRPr="00CF5DD9">
              <w:rPr>
                <w:rFonts w:ascii="Arial" w:eastAsia="Times New Roman" w:hAnsi="Arial" w:cs="Arial"/>
                <w:kern w:val="0"/>
                <w:sz w:val="20"/>
                <w:szCs w:val="20"/>
                <w:lang w:eastAsia="it-IT"/>
              </w:rPr>
              <w:br/>
              <w:t>Articolo 50 comma 9 ldecreto legislativo 36/2023</w:t>
            </w:r>
          </w:p>
        </w:tc>
      </w:tr>
      <w:tr w:rsidR="00041B26" w:rsidRPr="00CF5DD9" w14:paraId="4AD5763D"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35576E0F"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concessioni sotto soglia</w:t>
            </w:r>
          </w:p>
        </w:tc>
        <w:tc>
          <w:tcPr>
            <w:tcW w:w="992" w:type="dxa"/>
            <w:tcBorders>
              <w:top w:val="nil"/>
              <w:left w:val="nil"/>
              <w:bottom w:val="single" w:sz="4" w:space="0" w:color="000000"/>
              <w:right w:val="single" w:sz="4" w:space="0" w:color="000000"/>
            </w:tcBorders>
            <w:shd w:val="clear" w:color="auto" w:fill="auto"/>
            <w:hideMark/>
          </w:tcPr>
          <w:p w14:paraId="7625FCEE"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A2.32</w:t>
            </w:r>
          </w:p>
        </w:tc>
        <w:tc>
          <w:tcPr>
            <w:tcW w:w="3544" w:type="dxa"/>
            <w:tcBorders>
              <w:top w:val="nil"/>
              <w:left w:val="nil"/>
              <w:bottom w:val="single" w:sz="4" w:space="0" w:color="000000"/>
              <w:right w:val="single" w:sz="4" w:space="0" w:color="000000"/>
            </w:tcBorders>
            <w:shd w:val="clear" w:color="auto" w:fill="auto"/>
            <w:hideMark/>
          </w:tcPr>
          <w:p w14:paraId="2A651B3E"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Avviso di aggiudicazione di una concessione</w:t>
            </w:r>
          </w:p>
        </w:tc>
        <w:tc>
          <w:tcPr>
            <w:tcW w:w="3118" w:type="dxa"/>
            <w:tcBorders>
              <w:top w:val="single" w:sz="4" w:space="0" w:color="000000"/>
              <w:left w:val="nil"/>
              <w:bottom w:val="single" w:sz="4" w:space="0" w:color="000000"/>
              <w:right w:val="single" w:sz="4" w:space="0" w:color="000000"/>
            </w:tcBorders>
            <w:shd w:val="clear" w:color="auto" w:fill="auto"/>
            <w:hideMark/>
          </w:tcPr>
          <w:p w14:paraId="03D2D8D8"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187 decreto legislativo 36/2023</w:t>
            </w:r>
          </w:p>
        </w:tc>
      </w:tr>
      <w:tr w:rsidR="00041B26" w:rsidRPr="00CF5DD9" w14:paraId="2654796F"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7A25DC9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sotto soglia 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ordinari regime alleggerito</w:t>
            </w:r>
          </w:p>
        </w:tc>
        <w:tc>
          <w:tcPr>
            <w:tcW w:w="992" w:type="dxa"/>
            <w:tcBorders>
              <w:top w:val="nil"/>
              <w:left w:val="nil"/>
              <w:bottom w:val="single" w:sz="4" w:space="0" w:color="000000"/>
              <w:right w:val="single" w:sz="4" w:space="0" w:color="000000"/>
            </w:tcBorders>
            <w:shd w:val="clear" w:color="auto" w:fill="auto"/>
            <w:hideMark/>
          </w:tcPr>
          <w:p w14:paraId="198CBCA4"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A2.33</w:t>
            </w:r>
          </w:p>
        </w:tc>
        <w:tc>
          <w:tcPr>
            <w:tcW w:w="3544" w:type="dxa"/>
            <w:tcBorders>
              <w:top w:val="nil"/>
              <w:left w:val="nil"/>
              <w:bottom w:val="single" w:sz="4" w:space="0" w:color="000000"/>
              <w:right w:val="single" w:sz="4" w:space="0" w:color="000000"/>
            </w:tcBorders>
            <w:shd w:val="clear" w:color="auto" w:fill="auto"/>
            <w:hideMark/>
          </w:tcPr>
          <w:p w14:paraId="472D9826"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aggiudicazione,settore ordinario, regime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allegerito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3B32C8F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50 comma 9 decreto legislativo 36/2023</w:t>
            </w:r>
          </w:p>
        </w:tc>
      </w:tr>
      <w:tr w:rsidR="00041B26" w:rsidRPr="00CF5DD9" w14:paraId="76387E66"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11C358A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sotto soglia 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speciali regime alleggerito</w:t>
            </w:r>
          </w:p>
        </w:tc>
        <w:tc>
          <w:tcPr>
            <w:tcW w:w="992" w:type="dxa"/>
            <w:tcBorders>
              <w:top w:val="nil"/>
              <w:left w:val="nil"/>
              <w:bottom w:val="single" w:sz="4" w:space="0" w:color="000000"/>
              <w:right w:val="single" w:sz="4" w:space="0" w:color="000000"/>
            </w:tcBorders>
            <w:shd w:val="clear" w:color="auto" w:fill="auto"/>
            <w:hideMark/>
          </w:tcPr>
          <w:p w14:paraId="0E2D3439"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A2.34</w:t>
            </w:r>
          </w:p>
        </w:tc>
        <w:tc>
          <w:tcPr>
            <w:tcW w:w="3544" w:type="dxa"/>
            <w:tcBorders>
              <w:top w:val="nil"/>
              <w:left w:val="nil"/>
              <w:bottom w:val="single" w:sz="4" w:space="0" w:color="000000"/>
              <w:right w:val="single" w:sz="4" w:space="0" w:color="000000"/>
            </w:tcBorders>
            <w:shd w:val="clear" w:color="auto" w:fill="auto"/>
            <w:hideMark/>
          </w:tcPr>
          <w:p w14:paraId="7739269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aggiudicazione, settori speciali, regime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allegerito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668ACF1D"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50 comma 9 decreto legislativo 36/2023</w:t>
            </w:r>
          </w:p>
        </w:tc>
      </w:tr>
      <w:tr w:rsidR="00041B26" w:rsidRPr="00CF5DD9" w14:paraId="64F60385"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7055FA5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concessioni sotto soglia regime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alleggerito</w:t>
            </w:r>
          </w:p>
        </w:tc>
        <w:tc>
          <w:tcPr>
            <w:tcW w:w="992" w:type="dxa"/>
            <w:tcBorders>
              <w:top w:val="nil"/>
              <w:left w:val="nil"/>
              <w:bottom w:val="single" w:sz="4" w:space="0" w:color="000000"/>
              <w:right w:val="single" w:sz="4" w:space="0" w:color="000000"/>
            </w:tcBorders>
            <w:shd w:val="clear" w:color="auto" w:fill="auto"/>
            <w:hideMark/>
          </w:tcPr>
          <w:p w14:paraId="2D722CBB"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A2.35</w:t>
            </w:r>
          </w:p>
        </w:tc>
        <w:tc>
          <w:tcPr>
            <w:tcW w:w="3544" w:type="dxa"/>
            <w:tcBorders>
              <w:top w:val="nil"/>
              <w:left w:val="nil"/>
              <w:bottom w:val="single" w:sz="4" w:space="0" w:color="000000"/>
              <w:right w:val="single" w:sz="4" w:space="0" w:color="000000"/>
            </w:tcBorders>
            <w:shd w:val="clear" w:color="auto" w:fill="auto"/>
            <w:hideMark/>
          </w:tcPr>
          <w:p w14:paraId="102ADA4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di aggiudicazione di una concessione,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concessioni, regime allegerito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57048F3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187 decreto legislativo 36/2023</w:t>
            </w:r>
          </w:p>
        </w:tc>
      </w:tr>
      <w:tr w:rsidR="00041B26" w:rsidRPr="00CF5DD9" w14:paraId="23128BEE"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4CF1F269"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ordinari sotto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concorsi di progettazione</w:t>
            </w:r>
          </w:p>
        </w:tc>
        <w:tc>
          <w:tcPr>
            <w:tcW w:w="992" w:type="dxa"/>
            <w:tcBorders>
              <w:top w:val="nil"/>
              <w:left w:val="nil"/>
              <w:bottom w:val="single" w:sz="4" w:space="0" w:color="000000"/>
              <w:right w:val="single" w:sz="4" w:space="0" w:color="000000"/>
            </w:tcBorders>
            <w:shd w:val="clear" w:color="auto" w:fill="auto"/>
            <w:hideMark/>
          </w:tcPr>
          <w:p w14:paraId="78ED91F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A2.36</w:t>
            </w:r>
          </w:p>
        </w:tc>
        <w:tc>
          <w:tcPr>
            <w:tcW w:w="3544" w:type="dxa"/>
            <w:tcBorders>
              <w:top w:val="nil"/>
              <w:left w:val="nil"/>
              <w:bottom w:val="single" w:sz="4" w:space="0" w:color="000000"/>
              <w:right w:val="single" w:sz="4" w:space="0" w:color="000000"/>
            </w:tcBorders>
            <w:shd w:val="clear" w:color="auto" w:fill="auto"/>
            <w:hideMark/>
          </w:tcPr>
          <w:p w14:paraId="4D05992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sui risultati di un concorso di progettazione,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settori ordianari, progettazione</w:t>
            </w:r>
          </w:p>
        </w:tc>
        <w:tc>
          <w:tcPr>
            <w:tcW w:w="3118" w:type="dxa"/>
            <w:tcBorders>
              <w:top w:val="single" w:sz="4" w:space="0" w:color="000000"/>
              <w:left w:val="nil"/>
              <w:bottom w:val="single" w:sz="4" w:space="0" w:color="000000"/>
              <w:right w:val="single" w:sz="4" w:space="0" w:color="000000"/>
            </w:tcBorders>
            <w:shd w:val="clear" w:color="auto" w:fill="auto"/>
            <w:hideMark/>
          </w:tcPr>
          <w:p w14:paraId="6AD25BA4"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46 decreto legislativo 36/2023</w:t>
            </w:r>
          </w:p>
        </w:tc>
      </w:tr>
      <w:tr w:rsidR="00041B26" w:rsidRPr="00CF5DD9" w14:paraId="3C83806F"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198EEBED"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settori speciali sotto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concorsi di progettazione</w:t>
            </w:r>
          </w:p>
        </w:tc>
        <w:tc>
          <w:tcPr>
            <w:tcW w:w="992" w:type="dxa"/>
            <w:tcBorders>
              <w:top w:val="nil"/>
              <w:left w:val="nil"/>
              <w:bottom w:val="single" w:sz="4" w:space="0" w:color="000000"/>
              <w:right w:val="single" w:sz="4" w:space="0" w:color="000000"/>
            </w:tcBorders>
            <w:shd w:val="clear" w:color="auto" w:fill="auto"/>
            <w:hideMark/>
          </w:tcPr>
          <w:p w14:paraId="1AFD9AFF"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A2.37</w:t>
            </w:r>
          </w:p>
        </w:tc>
        <w:tc>
          <w:tcPr>
            <w:tcW w:w="3544" w:type="dxa"/>
            <w:tcBorders>
              <w:top w:val="nil"/>
              <w:left w:val="nil"/>
              <w:bottom w:val="single" w:sz="4" w:space="0" w:color="000000"/>
              <w:right w:val="single" w:sz="4" w:space="0" w:color="000000"/>
            </w:tcBorders>
            <w:shd w:val="clear" w:color="auto" w:fill="auto"/>
            <w:hideMark/>
          </w:tcPr>
          <w:p w14:paraId="0E2FEF7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sui risultati di un concorso di progettazione,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settori speciali, progettazione</w:t>
            </w:r>
          </w:p>
        </w:tc>
        <w:tc>
          <w:tcPr>
            <w:tcW w:w="3118" w:type="dxa"/>
            <w:tcBorders>
              <w:top w:val="single" w:sz="4" w:space="0" w:color="000000"/>
              <w:left w:val="nil"/>
              <w:bottom w:val="single" w:sz="4" w:space="0" w:color="000000"/>
              <w:right w:val="single" w:sz="4" w:space="0" w:color="000000"/>
            </w:tcBorders>
            <w:shd w:val="clear" w:color="auto" w:fill="auto"/>
            <w:hideMark/>
          </w:tcPr>
          <w:p w14:paraId="6001B4D7"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46 decreto legislativo 36/2023</w:t>
            </w:r>
          </w:p>
        </w:tc>
      </w:tr>
      <w:tr w:rsidR="00CF5DD9" w:rsidRPr="00CF5DD9" w14:paraId="6F2FBA92" w14:textId="77777777" w:rsidTr="0093082B">
        <w:trPr>
          <w:trHeight w:val="582"/>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BE3047C" w14:textId="77777777" w:rsidR="00CF5DD9" w:rsidRPr="00CF5DD9" w:rsidRDefault="00CF5DD9" w:rsidP="00CF5DD9">
            <w:pPr>
              <w:jc w:val="cente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AVVISO PER LA TRASPARENZA VOLONTARIA</w:t>
            </w:r>
          </w:p>
        </w:tc>
      </w:tr>
      <w:tr w:rsidR="00041B26" w:rsidRPr="00CF5DD9" w14:paraId="29B6D93C" w14:textId="77777777" w:rsidTr="0093082B">
        <w:trPr>
          <w:trHeight w:val="762"/>
        </w:trPr>
        <w:tc>
          <w:tcPr>
            <w:tcW w:w="1980" w:type="dxa"/>
            <w:tcBorders>
              <w:top w:val="nil"/>
              <w:left w:val="single" w:sz="4" w:space="0" w:color="000000"/>
              <w:bottom w:val="single" w:sz="4" w:space="0" w:color="000000"/>
              <w:right w:val="single" w:sz="4" w:space="0" w:color="000000"/>
            </w:tcBorders>
            <w:shd w:val="clear" w:color="auto" w:fill="auto"/>
            <w:hideMark/>
          </w:tcPr>
          <w:p w14:paraId="151575B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lastRenderedPageBreak/>
              <w:t>appalti pari /sopra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settori ordinari</w:t>
            </w:r>
          </w:p>
        </w:tc>
        <w:tc>
          <w:tcPr>
            <w:tcW w:w="992" w:type="dxa"/>
            <w:tcBorders>
              <w:top w:val="nil"/>
              <w:left w:val="nil"/>
              <w:bottom w:val="single" w:sz="4" w:space="0" w:color="000000"/>
              <w:right w:val="single" w:sz="4" w:space="0" w:color="000000"/>
            </w:tcBorders>
            <w:shd w:val="clear" w:color="auto" w:fill="auto"/>
            <w:hideMark/>
          </w:tcPr>
          <w:p w14:paraId="7351BEED"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AD1.25</w:t>
            </w:r>
          </w:p>
        </w:tc>
        <w:tc>
          <w:tcPr>
            <w:tcW w:w="3544" w:type="dxa"/>
            <w:tcBorders>
              <w:top w:val="nil"/>
              <w:left w:val="nil"/>
              <w:bottom w:val="single" w:sz="4" w:space="0" w:color="000000"/>
              <w:right w:val="single" w:sz="4" w:space="0" w:color="000000"/>
            </w:tcBorders>
            <w:shd w:val="clear" w:color="auto" w:fill="auto"/>
            <w:hideMark/>
          </w:tcPr>
          <w:p w14:paraId="221674F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per la trasparenza volontaria ex ante,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generale</w:t>
            </w:r>
          </w:p>
        </w:tc>
        <w:tc>
          <w:tcPr>
            <w:tcW w:w="3118" w:type="dxa"/>
            <w:tcBorders>
              <w:top w:val="single" w:sz="4" w:space="0" w:color="000000"/>
              <w:left w:val="nil"/>
              <w:bottom w:val="single" w:sz="4" w:space="0" w:color="000000"/>
              <w:right w:val="single" w:sz="4" w:space="0" w:color="000000"/>
            </w:tcBorders>
            <w:shd w:val="clear" w:color="auto" w:fill="auto"/>
            <w:hideMark/>
          </w:tcPr>
          <w:p w14:paraId="529142A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 bis della direttiva 89/665/CEE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86 decreto legislativo 36/2023</w:t>
            </w:r>
          </w:p>
        </w:tc>
      </w:tr>
      <w:tr w:rsidR="00041B26" w:rsidRPr="00CF5DD9" w14:paraId="7BAD4618" w14:textId="77777777" w:rsidTr="0093082B">
        <w:trPr>
          <w:trHeight w:val="762"/>
        </w:trPr>
        <w:tc>
          <w:tcPr>
            <w:tcW w:w="1980" w:type="dxa"/>
            <w:tcBorders>
              <w:top w:val="nil"/>
              <w:left w:val="single" w:sz="4" w:space="0" w:color="000000"/>
              <w:bottom w:val="single" w:sz="4" w:space="0" w:color="000000"/>
              <w:right w:val="single" w:sz="4" w:space="0" w:color="000000"/>
            </w:tcBorders>
            <w:shd w:val="clear" w:color="auto" w:fill="auto"/>
            <w:hideMark/>
          </w:tcPr>
          <w:p w14:paraId="66B8A11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pari /sopra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settori speciali</w:t>
            </w:r>
          </w:p>
        </w:tc>
        <w:tc>
          <w:tcPr>
            <w:tcW w:w="992" w:type="dxa"/>
            <w:tcBorders>
              <w:top w:val="nil"/>
              <w:left w:val="nil"/>
              <w:bottom w:val="single" w:sz="4" w:space="0" w:color="000000"/>
              <w:right w:val="single" w:sz="4" w:space="0" w:color="000000"/>
            </w:tcBorders>
            <w:shd w:val="clear" w:color="auto" w:fill="auto"/>
            <w:hideMark/>
          </w:tcPr>
          <w:p w14:paraId="54090ECD"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AD1.26</w:t>
            </w:r>
          </w:p>
        </w:tc>
        <w:tc>
          <w:tcPr>
            <w:tcW w:w="3544" w:type="dxa"/>
            <w:tcBorders>
              <w:top w:val="nil"/>
              <w:left w:val="nil"/>
              <w:bottom w:val="single" w:sz="4" w:space="0" w:color="000000"/>
              <w:right w:val="single" w:sz="4" w:space="0" w:color="000000"/>
            </w:tcBorders>
            <w:shd w:val="clear" w:color="auto" w:fill="auto"/>
            <w:hideMark/>
          </w:tcPr>
          <w:p w14:paraId="7A89BCB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per la trasparenza volontaria ex ante,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settoriale</w:t>
            </w:r>
          </w:p>
        </w:tc>
        <w:tc>
          <w:tcPr>
            <w:tcW w:w="3118" w:type="dxa"/>
            <w:tcBorders>
              <w:top w:val="single" w:sz="4" w:space="0" w:color="000000"/>
              <w:left w:val="nil"/>
              <w:bottom w:val="single" w:sz="4" w:space="0" w:color="000000"/>
              <w:right w:val="single" w:sz="4" w:space="0" w:color="000000"/>
            </w:tcBorders>
            <w:shd w:val="clear" w:color="auto" w:fill="auto"/>
            <w:hideMark/>
          </w:tcPr>
          <w:p w14:paraId="1118B390"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 bis della direttiva 92/13/CEE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86 decreto legislativo 36/2023</w:t>
            </w:r>
          </w:p>
        </w:tc>
      </w:tr>
      <w:tr w:rsidR="00041B26" w:rsidRPr="00CF5DD9" w14:paraId="32388D46" w14:textId="77777777" w:rsidTr="0093082B">
        <w:trPr>
          <w:trHeight w:val="822"/>
        </w:trPr>
        <w:tc>
          <w:tcPr>
            <w:tcW w:w="1980" w:type="dxa"/>
            <w:tcBorders>
              <w:top w:val="nil"/>
              <w:left w:val="single" w:sz="4" w:space="0" w:color="000000"/>
              <w:bottom w:val="single" w:sz="4" w:space="0" w:color="000000"/>
              <w:right w:val="single" w:sz="4" w:space="0" w:color="000000"/>
            </w:tcBorders>
            <w:shd w:val="clear" w:color="auto" w:fill="auto"/>
            <w:hideMark/>
          </w:tcPr>
          <w:p w14:paraId="4166FC0F"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e procedure</w:t>
            </w:r>
          </w:p>
        </w:tc>
        <w:tc>
          <w:tcPr>
            <w:tcW w:w="992" w:type="dxa"/>
            <w:tcBorders>
              <w:top w:val="nil"/>
              <w:left w:val="nil"/>
              <w:bottom w:val="single" w:sz="4" w:space="0" w:color="000000"/>
              <w:right w:val="single" w:sz="4" w:space="0" w:color="000000"/>
            </w:tcBorders>
            <w:shd w:val="clear" w:color="auto" w:fill="auto"/>
            <w:hideMark/>
          </w:tcPr>
          <w:p w14:paraId="26E0904F"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Scheda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art. 23</w:t>
            </w:r>
          </w:p>
        </w:tc>
        <w:tc>
          <w:tcPr>
            <w:tcW w:w="3544" w:type="dxa"/>
            <w:tcBorders>
              <w:top w:val="nil"/>
              <w:left w:val="nil"/>
              <w:bottom w:val="single" w:sz="4" w:space="0" w:color="000000"/>
              <w:right w:val="single" w:sz="4" w:space="0" w:color="000000"/>
            </w:tcBorders>
            <w:shd w:val="clear" w:color="auto" w:fill="auto"/>
            <w:hideMark/>
          </w:tcPr>
          <w:p w14:paraId="100CFDC5"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Descrizione del contenuto dei dati</w:t>
            </w:r>
          </w:p>
        </w:tc>
        <w:tc>
          <w:tcPr>
            <w:tcW w:w="3118" w:type="dxa"/>
            <w:tcBorders>
              <w:top w:val="single" w:sz="4" w:space="0" w:color="000000"/>
              <w:left w:val="nil"/>
              <w:bottom w:val="single" w:sz="4" w:space="0" w:color="000000"/>
              <w:right w:val="single" w:sz="4" w:space="0" w:color="000000"/>
            </w:tcBorders>
            <w:shd w:val="clear" w:color="auto" w:fill="auto"/>
            <w:hideMark/>
          </w:tcPr>
          <w:p w14:paraId="5D702497"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Riferimento normativo</w:t>
            </w:r>
          </w:p>
        </w:tc>
      </w:tr>
      <w:tr w:rsidR="00041B26" w:rsidRPr="00CF5DD9" w14:paraId="33E7D093" w14:textId="77777777" w:rsidTr="0093082B">
        <w:trPr>
          <w:trHeight w:val="799"/>
        </w:trPr>
        <w:tc>
          <w:tcPr>
            <w:tcW w:w="1980" w:type="dxa"/>
            <w:tcBorders>
              <w:top w:val="nil"/>
              <w:left w:val="single" w:sz="4" w:space="0" w:color="000000"/>
              <w:bottom w:val="single" w:sz="4" w:space="0" w:color="000000"/>
              <w:right w:val="single" w:sz="4" w:space="0" w:color="000000"/>
            </w:tcBorders>
            <w:shd w:val="clear" w:color="auto" w:fill="auto"/>
            <w:hideMark/>
          </w:tcPr>
          <w:p w14:paraId="3E9076C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pari /sopra soglia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settore difesa e sicurezza</w:t>
            </w:r>
          </w:p>
        </w:tc>
        <w:tc>
          <w:tcPr>
            <w:tcW w:w="992" w:type="dxa"/>
            <w:tcBorders>
              <w:top w:val="nil"/>
              <w:left w:val="nil"/>
              <w:bottom w:val="single" w:sz="4" w:space="0" w:color="000000"/>
              <w:right w:val="single" w:sz="4" w:space="0" w:color="000000"/>
            </w:tcBorders>
            <w:shd w:val="clear" w:color="auto" w:fill="auto"/>
            <w:hideMark/>
          </w:tcPr>
          <w:p w14:paraId="472A24B5"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AD1.27</w:t>
            </w:r>
          </w:p>
        </w:tc>
        <w:tc>
          <w:tcPr>
            <w:tcW w:w="3544" w:type="dxa"/>
            <w:tcBorders>
              <w:top w:val="nil"/>
              <w:left w:val="nil"/>
              <w:bottom w:val="single" w:sz="4" w:space="0" w:color="000000"/>
              <w:right w:val="single" w:sz="4" w:space="0" w:color="000000"/>
            </w:tcBorders>
            <w:shd w:val="clear" w:color="auto" w:fill="auto"/>
            <w:hideMark/>
          </w:tcPr>
          <w:p w14:paraId="36CF213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per la trasparenza volontaria ex ante,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difesa</w:t>
            </w:r>
          </w:p>
        </w:tc>
        <w:tc>
          <w:tcPr>
            <w:tcW w:w="3118" w:type="dxa"/>
            <w:tcBorders>
              <w:top w:val="single" w:sz="4" w:space="0" w:color="000000"/>
              <w:left w:val="nil"/>
              <w:bottom w:val="single" w:sz="4" w:space="0" w:color="000000"/>
              <w:right w:val="single" w:sz="4" w:space="0" w:color="000000"/>
            </w:tcBorders>
            <w:shd w:val="clear" w:color="auto" w:fill="auto"/>
            <w:hideMark/>
          </w:tcPr>
          <w:p w14:paraId="433A7002"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64 della direttiva 2009/81/CE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86 decreto legislativo 36/2023</w:t>
            </w:r>
          </w:p>
        </w:tc>
      </w:tr>
      <w:tr w:rsidR="00041B26" w:rsidRPr="00CF5DD9" w14:paraId="34292CBB" w14:textId="77777777" w:rsidTr="0093082B">
        <w:trPr>
          <w:trHeight w:val="1002"/>
        </w:trPr>
        <w:tc>
          <w:tcPr>
            <w:tcW w:w="1980" w:type="dxa"/>
            <w:tcBorders>
              <w:top w:val="nil"/>
              <w:left w:val="single" w:sz="4" w:space="0" w:color="000000"/>
              <w:bottom w:val="single" w:sz="4" w:space="0" w:color="000000"/>
              <w:right w:val="single" w:sz="4" w:space="0" w:color="000000"/>
            </w:tcBorders>
            <w:shd w:val="clear" w:color="auto" w:fill="auto"/>
            <w:hideMark/>
          </w:tcPr>
          <w:p w14:paraId="5F3954B1"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concessioni pari /sopra soglia</w:t>
            </w:r>
          </w:p>
        </w:tc>
        <w:tc>
          <w:tcPr>
            <w:tcW w:w="992" w:type="dxa"/>
            <w:tcBorders>
              <w:top w:val="nil"/>
              <w:left w:val="nil"/>
              <w:bottom w:val="single" w:sz="4" w:space="0" w:color="000000"/>
              <w:right w:val="single" w:sz="4" w:space="0" w:color="000000"/>
            </w:tcBorders>
            <w:shd w:val="clear" w:color="auto" w:fill="auto"/>
            <w:hideMark/>
          </w:tcPr>
          <w:p w14:paraId="3572FA78"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AD1.28</w:t>
            </w:r>
          </w:p>
        </w:tc>
        <w:tc>
          <w:tcPr>
            <w:tcW w:w="3544" w:type="dxa"/>
            <w:tcBorders>
              <w:top w:val="nil"/>
              <w:left w:val="nil"/>
              <w:bottom w:val="single" w:sz="4" w:space="0" w:color="000000"/>
              <w:right w:val="single" w:sz="4" w:space="0" w:color="000000"/>
            </w:tcBorders>
            <w:shd w:val="clear" w:color="auto" w:fill="auto"/>
            <w:hideMark/>
          </w:tcPr>
          <w:p w14:paraId="16FFA43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Avviso per la trasparenza volontaria ex ante, direttiva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concessioni</w:t>
            </w:r>
          </w:p>
        </w:tc>
        <w:tc>
          <w:tcPr>
            <w:tcW w:w="3118" w:type="dxa"/>
            <w:tcBorders>
              <w:top w:val="single" w:sz="4" w:space="0" w:color="000000"/>
              <w:left w:val="nil"/>
              <w:bottom w:val="single" w:sz="4" w:space="0" w:color="000000"/>
              <w:right w:val="single" w:sz="4" w:space="0" w:color="000000"/>
            </w:tcBorders>
            <w:shd w:val="clear" w:color="auto" w:fill="auto"/>
            <w:hideMark/>
          </w:tcPr>
          <w:p w14:paraId="684B848E"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 bis delle direttive 89/665/CEE e 92/13/CEE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86 decreto legislativo 36/2023</w:t>
            </w:r>
          </w:p>
        </w:tc>
      </w:tr>
      <w:tr w:rsidR="00041B26" w:rsidRPr="00CF5DD9" w14:paraId="04721ED2" w14:textId="77777777" w:rsidTr="0093082B">
        <w:trPr>
          <w:trHeight w:val="822"/>
        </w:trPr>
        <w:tc>
          <w:tcPr>
            <w:tcW w:w="1980" w:type="dxa"/>
            <w:tcBorders>
              <w:top w:val="nil"/>
              <w:left w:val="single" w:sz="4" w:space="0" w:color="000000"/>
              <w:bottom w:val="single" w:sz="4" w:space="0" w:color="000000"/>
              <w:right w:val="single" w:sz="4" w:space="0" w:color="000000"/>
            </w:tcBorders>
            <w:shd w:val="clear" w:color="auto" w:fill="auto"/>
            <w:hideMark/>
          </w:tcPr>
          <w:p w14:paraId="2AA5C00D"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Settori e procedure</w:t>
            </w:r>
          </w:p>
        </w:tc>
        <w:tc>
          <w:tcPr>
            <w:tcW w:w="992" w:type="dxa"/>
            <w:tcBorders>
              <w:top w:val="nil"/>
              <w:left w:val="nil"/>
              <w:bottom w:val="single" w:sz="4" w:space="0" w:color="000000"/>
              <w:right w:val="single" w:sz="4" w:space="0" w:color="000000"/>
            </w:tcBorders>
            <w:shd w:val="clear" w:color="auto" w:fill="auto"/>
            <w:hideMark/>
          </w:tcPr>
          <w:p w14:paraId="33C57C7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Scheda</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art. 23</w:t>
            </w:r>
          </w:p>
        </w:tc>
        <w:tc>
          <w:tcPr>
            <w:tcW w:w="3544" w:type="dxa"/>
            <w:tcBorders>
              <w:top w:val="nil"/>
              <w:left w:val="nil"/>
              <w:bottom w:val="single" w:sz="4" w:space="0" w:color="000000"/>
              <w:right w:val="single" w:sz="4" w:space="0" w:color="000000"/>
            </w:tcBorders>
            <w:shd w:val="clear" w:color="auto" w:fill="auto"/>
            <w:hideMark/>
          </w:tcPr>
          <w:p w14:paraId="3A443DCA"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Descrizione del contenuto dei dati</w:t>
            </w:r>
          </w:p>
        </w:tc>
        <w:tc>
          <w:tcPr>
            <w:tcW w:w="3118" w:type="dxa"/>
            <w:tcBorders>
              <w:top w:val="single" w:sz="4" w:space="0" w:color="000000"/>
              <w:left w:val="nil"/>
              <w:bottom w:val="single" w:sz="4" w:space="0" w:color="000000"/>
              <w:right w:val="single" w:sz="4" w:space="0" w:color="000000"/>
            </w:tcBorders>
            <w:shd w:val="clear" w:color="auto" w:fill="auto"/>
            <w:hideMark/>
          </w:tcPr>
          <w:p w14:paraId="67034B71"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Riferimento normativo</w:t>
            </w:r>
          </w:p>
        </w:tc>
      </w:tr>
      <w:tr w:rsidR="00CF5DD9" w:rsidRPr="00CF5DD9" w14:paraId="2A76A56F" w14:textId="77777777" w:rsidTr="0093082B">
        <w:trPr>
          <w:trHeight w:val="660"/>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9151FEE" w14:textId="77777777" w:rsidR="00CF5DD9" w:rsidRPr="00CF5DD9" w:rsidRDefault="00CF5DD9" w:rsidP="00CF5DD9">
            <w:pPr>
              <w:jc w:val="cente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AFFIDAMENTI DIRETTI SOTTO SOGLIA</w:t>
            </w:r>
          </w:p>
        </w:tc>
      </w:tr>
      <w:tr w:rsidR="00041B26" w:rsidRPr="00CF5DD9" w14:paraId="1676E195" w14:textId="77777777" w:rsidTr="0093082B">
        <w:trPr>
          <w:trHeight w:val="1482"/>
        </w:trPr>
        <w:tc>
          <w:tcPr>
            <w:tcW w:w="1980" w:type="dxa"/>
            <w:tcBorders>
              <w:top w:val="nil"/>
              <w:left w:val="single" w:sz="4" w:space="0" w:color="000000"/>
              <w:bottom w:val="single" w:sz="4" w:space="0" w:color="000000"/>
              <w:right w:val="single" w:sz="4" w:space="0" w:color="000000"/>
            </w:tcBorders>
            <w:shd w:val="clear" w:color="auto" w:fill="auto"/>
            <w:hideMark/>
          </w:tcPr>
          <w:p w14:paraId="24B5611A"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sotto soglia 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ordinari</w:t>
            </w:r>
            <w:r w:rsidRPr="00CF5DD9">
              <w:rPr>
                <w:rFonts w:ascii="Arial" w:eastAsia="Times New Roman" w:hAnsi="Arial" w:cs="Arial"/>
                <w:b/>
                <w:bCs/>
                <w:kern w:val="0"/>
                <w:sz w:val="20"/>
                <w:szCs w:val="20"/>
                <w:lang w:eastAsia="it-IT"/>
              </w:rPr>
              <w:br/>
              <w:t>regime ordinario e alleggerito</w:t>
            </w:r>
          </w:p>
        </w:tc>
        <w:tc>
          <w:tcPr>
            <w:tcW w:w="992" w:type="dxa"/>
            <w:tcBorders>
              <w:top w:val="nil"/>
              <w:left w:val="nil"/>
              <w:bottom w:val="single" w:sz="4" w:space="0" w:color="000000"/>
              <w:right w:val="single" w:sz="4" w:space="0" w:color="000000"/>
            </w:tcBorders>
            <w:shd w:val="clear" w:color="auto" w:fill="auto"/>
            <w:hideMark/>
          </w:tcPr>
          <w:p w14:paraId="5D5AEAC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AD2.25</w:t>
            </w:r>
          </w:p>
        </w:tc>
        <w:tc>
          <w:tcPr>
            <w:tcW w:w="3544" w:type="dxa"/>
            <w:tcBorders>
              <w:top w:val="nil"/>
              <w:left w:val="nil"/>
              <w:bottom w:val="single" w:sz="4" w:space="0" w:color="000000"/>
              <w:right w:val="single" w:sz="4" w:space="0" w:color="000000"/>
            </w:tcBorders>
            <w:shd w:val="clear" w:color="auto" w:fill="auto"/>
            <w:hideMark/>
          </w:tcPr>
          <w:p w14:paraId="03ECAC7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Affidamento diretto superiore al valore ammesso per</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l'affidamento diretto e sotto la soglia comunitaria, settori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ordinari (regime ordinario e 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29A0BCC7"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50 comma 1 lettere c) d) e)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50 comma 9 decreto legislativo 36/2023</w:t>
            </w:r>
          </w:p>
        </w:tc>
      </w:tr>
      <w:tr w:rsidR="00041B26" w:rsidRPr="00CF5DD9" w14:paraId="309AD997" w14:textId="77777777" w:rsidTr="0093082B">
        <w:trPr>
          <w:trHeight w:val="1482"/>
        </w:trPr>
        <w:tc>
          <w:tcPr>
            <w:tcW w:w="1980" w:type="dxa"/>
            <w:tcBorders>
              <w:top w:val="nil"/>
              <w:left w:val="single" w:sz="4" w:space="0" w:color="000000"/>
              <w:bottom w:val="single" w:sz="4" w:space="0" w:color="000000"/>
              <w:right w:val="single" w:sz="4" w:space="0" w:color="000000"/>
            </w:tcBorders>
            <w:shd w:val="clear" w:color="auto" w:fill="auto"/>
            <w:hideMark/>
          </w:tcPr>
          <w:p w14:paraId="69B8C8F3"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sotto soglia 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speciali</w:t>
            </w:r>
            <w:r w:rsidRPr="00CF5DD9">
              <w:rPr>
                <w:rFonts w:ascii="Arial" w:eastAsia="Times New Roman" w:hAnsi="Arial" w:cs="Arial"/>
                <w:b/>
                <w:bCs/>
                <w:kern w:val="0"/>
                <w:sz w:val="20"/>
                <w:szCs w:val="20"/>
                <w:lang w:eastAsia="it-IT"/>
              </w:rPr>
              <w:br/>
              <w:t>regime ordinario e alleggerito</w:t>
            </w:r>
          </w:p>
        </w:tc>
        <w:tc>
          <w:tcPr>
            <w:tcW w:w="992" w:type="dxa"/>
            <w:tcBorders>
              <w:top w:val="nil"/>
              <w:left w:val="nil"/>
              <w:bottom w:val="single" w:sz="4" w:space="0" w:color="000000"/>
              <w:right w:val="single" w:sz="4" w:space="0" w:color="000000"/>
            </w:tcBorders>
            <w:shd w:val="clear" w:color="auto" w:fill="auto"/>
            <w:hideMark/>
          </w:tcPr>
          <w:p w14:paraId="7101F87A"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AD2.26</w:t>
            </w:r>
          </w:p>
        </w:tc>
        <w:tc>
          <w:tcPr>
            <w:tcW w:w="3544" w:type="dxa"/>
            <w:tcBorders>
              <w:top w:val="nil"/>
              <w:left w:val="nil"/>
              <w:bottom w:val="single" w:sz="4" w:space="0" w:color="000000"/>
              <w:right w:val="single" w:sz="4" w:space="0" w:color="000000"/>
            </w:tcBorders>
            <w:shd w:val="clear" w:color="auto" w:fill="auto"/>
            <w:hideMark/>
          </w:tcPr>
          <w:p w14:paraId="73A6573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Affidamento diretto superiore al valore ammesso per</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l'affidamento diretto e sotto la soglia comunitaria, settori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speciali (regime ordinario e alleggerito)</w:t>
            </w:r>
          </w:p>
        </w:tc>
        <w:tc>
          <w:tcPr>
            <w:tcW w:w="3118" w:type="dxa"/>
            <w:tcBorders>
              <w:top w:val="single" w:sz="4" w:space="0" w:color="000000"/>
              <w:left w:val="nil"/>
              <w:bottom w:val="single" w:sz="4" w:space="0" w:color="000000"/>
              <w:right w:val="single" w:sz="4" w:space="0" w:color="000000"/>
            </w:tcBorders>
            <w:shd w:val="clear" w:color="auto" w:fill="auto"/>
            <w:hideMark/>
          </w:tcPr>
          <w:p w14:paraId="4F6D5676"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50 comma 9 decreto legislativo 36/2023</w:t>
            </w:r>
          </w:p>
        </w:tc>
      </w:tr>
      <w:tr w:rsidR="00041B26" w:rsidRPr="00CF5DD9" w14:paraId="4F42B2FE" w14:textId="77777777" w:rsidTr="0093082B">
        <w:trPr>
          <w:trHeight w:val="1039"/>
        </w:trPr>
        <w:tc>
          <w:tcPr>
            <w:tcW w:w="1980" w:type="dxa"/>
            <w:tcBorders>
              <w:top w:val="nil"/>
              <w:left w:val="single" w:sz="4" w:space="0" w:color="000000"/>
              <w:bottom w:val="single" w:sz="4" w:space="0" w:color="000000"/>
              <w:right w:val="single" w:sz="4" w:space="0" w:color="000000"/>
            </w:tcBorders>
            <w:shd w:val="clear" w:color="auto" w:fill="auto"/>
            <w:hideMark/>
          </w:tcPr>
          <w:p w14:paraId="3F9A3ED6"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 sotto soglia settore</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difesa e sicurezza</w:t>
            </w:r>
          </w:p>
        </w:tc>
        <w:tc>
          <w:tcPr>
            <w:tcW w:w="992" w:type="dxa"/>
            <w:tcBorders>
              <w:top w:val="nil"/>
              <w:left w:val="nil"/>
              <w:bottom w:val="single" w:sz="4" w:space="0" w:color="000000"/>
              <w:right w:val="single" w:sz="4" w:space="0" w:color="000000"/>
            </w:tcBorders>
            <w:shd w:val="clear" w:color="auto" w:fill="auto"/>
            <w:hideMark/>
          </w:tcPr>
          <w:p w14:paraId="1B696E7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AD2.27</w:t>
            </w:r>
          </w:p>
        </w:tc>
        <w:tc>
          <w:tcPr>
            <w:tcW w:w="3544" w:type="dxa"/>
            <w:tcBorders>
              <w:top w:val="nil"/>
              <w:left w:val="nil"/>
              <w:bottom w:val="single" w:sz="4" w:space="0" w:color="000000"/>
              <w:right w:val="single" w:sz="4" w:space="0" w:color="000000"/>
            </w:tcBorders>
            <w:shd w:val="clear" w:color="auto" w:fill="auto"/>
            <w:hideMark/>
          </w:tcPr>
          <w:p w14:paraId="36BE783C"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Affidamento diretto superiore al valore ammesso per</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l'affidamento diretto e sotto la soglia comunitaria,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settore difesa e sicurezza</w:t>
            </w:r>
          </w:p>
        </w:tc>
        <w:tc>
          <w:tcPr>
            <w:tcW w:w="3118" w:type="dxa"/>
            <w:tcBorders>
              <w:top w:val="single" w:sz="4" w:space="0" w:color="000000"/>
              <w:left w:val="nil"/>
              <w:bottom w:val="single" w:sz="4" w:space="0" w:color="000000"/>
              <w:right w:val="single" w:sz="4" w:space="0" w:color="000000"/>
            </w:tcBorders>
            <w:shd w:val="clear" w:color="auto" w:fill="auto"/>
            <w:hideMark/>
          </w:tcPr>
          <w:p w14:paraId="44175C7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31 decreto legislativo 208/2011</w:t>
            </w:r>
            <w:r w:rsidRPr="00CF5DD9">
              <w:rPr>
                <w:rFonts w:ascii="Arial" w:eastAsia="Times New Roman" w:hAnsi="Arial" w:cs="Arial"/>
                <w:kern w:val="0"/>
                <w:sz w:val="20"/>
                <w:szCs w:val="20"/>
                <w:lang w:eastAsia="it-IT"/>
              </w:rPr>
              <w:br/>
              <w:t>Articolo 50 comma 1 lettere c) d) e)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50 comma 9 decreto legislativo 36/2023</w:t>
            </w:r>
          </w:p>
        </w:tc>
      </w:tr>
      <w:tr w:rsidR="00041B26" w:rsidRPr="00CF5DD9" w14:paraId="2BC037A0" w14:textId="77777777" w:rsidTr="0093082B">
        <w:trPr>
          <w:trHeight w:val="979"/>
        </w:trPr>
        <w:tc>
          <w:tcPr>
            <w:tcW w:w="1980" w:type="dxa"/>
            <w:tcBorders>
              <w:top w:val="nil"/>
              <w:left w:val="single" w:sz="4" w:space="0" w:color="000000"/>
              <w:bottom w:val="single" w:sz="4" w:space="0" w:color="000000"/>
              <w:right w:val="single" w:sz="4" w:space="0" w:color="000000"/>
            </w:tcBorders>
            <w:shd w:val="clear" w:color="auto" w:fill="auto"/>
            <w:hideMark/>
          </w:tcPr>
          <w:p w14:paraId="4CD9A6D8"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concessioni sottosoglia</w:t>
            </w:r>
          </w:p>
        </w:tc>
        <w:tc>
          <w:tcPr>
            <w:tcW w:w="992" w:type="dxa"/>
            <w:tcBorders>
              <w:top w:val="nil"/>
              <w:left w:val="nil"/>
              <w:bottom w:val="single" w:sz="4" w:space="0" w:color="000000"/>
              <w:right w:val="single" w:sz="4" w:space="0" w:color="000000"/>
            </w:tcBorders>
            <w:shd w:val="clear" w:color="auto" w:fill="auto"/>
            <w:hideMark/>
          </w:tcPr>
          <w:p w14:paraId="54E28DE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AD2.28</w:t>
            </w:r>
          </w:p>
        </w:tc>
        <w:tc>
          <w:tcPr>
            <w:tcW w:w="3544" w:type="dxa"/>
            <w:tcBorders>
              <w:top w:val="nil"/>
              <w:left w:val="nil"/>
              <w:bottom w:val="single" w:sz="4" w:space="0" w:color="000000"/>
              <w:right w:val="single" w:sz="4" w:space="0" w:color="000000"/>
            </w:tcBorders>
            <w:shd w:val="clear" w:color="auto" w:fill="auto"/>
            <w:hideMark/>
          </w:tcPr>
          <w:p w14:paraId="1269A95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Affidamento diretto, concessioni</w:t>
            </w:r>
          </w:p>
        </w:tc>
        <w:tc>
          <w:tcPr>
            <w:tcW w:w="3118" w:type="dxa"/>
            <w:tcBorders>
              <w:top w:val="single" w:sz="4" w:space="0" w:color="000000"/>
              <w:left w:val="nil"/>
              <w:bottom w:val="single" w:sz="4" w:space="0" w:color="000000"/>
              <w:right w:val="single" w:sz="4" w:space="0" w:color="000000"/>
            </w:tcBorders>
            <w:shd w:val="clear" w:color="auto" w:fill="auto"/>
            <w:hideMark/>
          </w:tcPr>
          <w:p w14:paraId="7A911AD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182 comma 7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187 decreto legislativo 36/2023</w:t>
            </w:r>
          </w:p>
        </w:tc>
      </w:tr>
      <w:tr w:rsidR="00041B26" w:rsidRPr="00CF5DD9" w14:paraId="5792650E" w14:textId="77777777" w:rsidTr="0093082B">
        <w:trPr>
          <w:trHeight w:val="840"/>
        </w:trPr>
        <w:tc>
          <w:tcPr>
            <w:tcW w:w="1980" w:type="dxa"/>
            <w:tcBorders>
              <w:top w:val="nil"/>
              <w:left w:val="single" w:sz="4" w:space="0" w:color="000000"/>
              <w:bottom w:val="single" w:sz="4" w:space="0" w:color="000000"/>
              <w:right w:val="single" w:sz="4" w:space="0" w:color="000000"/>
            </w:tcBorders>
            <w:shd w:val="clear" w:color="auto" w:fill="auto"/>
            <w:hideMark/>
          </w:tcPr>
          <w:p w14:paraId="0822B68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tutti i settori</w:t>
            </w:r>
            <w:r w:rsidRPr="00CF5DD9">
              <w:rPr>
                <w:rFonts w:ascii="Arial" w:eastAsia="Times New Roman" w:hAnsi="Arial" w:cs="Arial"/>
                <w:b/>
                <w:bCs/>
                <w:kern w:val="0"/>
                <w:sz w:val="20"/>
                <w:szCs w:val="20"/>
                <w:lang w:eastAsia="it-IT"/>
              </w:rPr>
              <w:br/>
              <w:t>regime ordinario e alleggerito</w:t>
            </w:r>
          </w:p>
        </w:tc>
        <w:tc>
          <w:tcPr>
            <w:tcW w:w="992" w:type="dxa"/>
            <w:tcBorders>
              <w:top w:val="nil"/>
              <w:left w:val="nil"/>
              <w:bottom w:val="single" w:sz="4" w:space="0" w:color="000000"/>
              <w:right w:val="single" w:sz="4" w:space="0" w:color="000000"/>
            </w:tcBorders>
            <w:shd w:val="clear" w:color="auto" w:fill="auto"/>
            <w:hideMark/>
          </w:tcPr>
          <w:p w14:paraId="36C19590"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AD3</w:t>
            </w:r>
          </w:p>
        </w:tc>
        <w:tc>
          <w:tcPr>
            <w:tcW w:w="3544" w:type="dxa"/>
            <w:tcBorders>
              <w:top w:val="nil"/>
              <w:left w:val="nil"/>
              <w:bottom w:val="single" w:sz="4" w:space="0" w:color="000000"/>
              <w:right w:val="single" w:sz="4" w:space="0" w:color="000000"/>
            </w:tcBorders>
            <w:shd w:val="clear" w:color="auto" w:fill="auto"/>
            <w:hideMark/>
          </w:tcPr>
          <w:p w14:paraId="3B938F74"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Affidamento diretto di importo pari o superiore 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cinquemila euro ed entro i entro i valori ammessi per</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l'affidamento diretto</w:t>
            </w:r>
          </w:p>
        </w:tc>
        <w:tc>
          <w:tcPr>
            <w:tcW w:w="3118" w:type="dxa"/>
            <w:tcBorders>
              <w:top w:val="single" w:sz="4" w:space="0" w:color="000000"/>
              <w:left w:val="nil"/>
              <w:bottom w:val="single" w:sz="4" w:space="0" w:color="000000"/>
              <w:right w:val="single" w:sz="4" w:space="0" w:color="000000"/>
            </w:tcBorders>
            <w:shd w:val="clear" w:color="auto" w:fill="auto"/>
            <w:hideMark/>
          </w:tcPr>
          <w:p w14:paraId="26F31C53"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Articolo 50 comma 9 decreto legislativo 36/2023</w:t>
            </w:r>
          </w:p>
        </w:tc>
      </w:tr>
      <w:tr w:rsidR="00CF5DD9" w:rsidRPr="00CF5DD9" w14:paraId="5D483C03" w14:textId="77777777" w:rsidTr="0093082B">
        <w:trPr>
          <w:trHeight w:val="582"/>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63BC02D" w14:textId="77777777" w:rsidR="00CF5DD9" w:rsidRPr="00CF5DD9" w:rsidRDefault="00CF5DD9" w:rsidP="00CF5DD9">
            <w:pPr>
              <w:jc w:val="cente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MODIFICA CONTRATTUALE</w:t>
            </w:r>
          </w:p>
        </w:tc>
      </w:tr>
      <w:tr w:rsidR="00041B26" w:rsidRPr="00CF5DD9" w14:paraId="2486949F" w14:textId="77777777" w:rsidTr="0093082B">
        <w:trPr>
          <w:trHeight w:val="1800"/>
        </w:trPr>
        <w:tc>
          <w:tcPr>
            <w:tcW w:w="1980" w:type="dxa"/>
            <w:tcBorders>
              <w:top w:val="nil"/>
              <w:left w:val="single" w:sz="4" w:space="0" w:color="000000"/>
              <w:bottom w:val="single" w:sz="4" w:space="0" w:color="000000"/>
              <w:right w:val="single" w:sz="4" w:space="0" w:color="000000"/>
            </w:tcBorders>
            <w:shd w:val="clear" w:color="auto" w:fill="auto"/>
            <w:hideMark/>
          </w:tcPr>
          <w:p w14:paraId="37332BBD"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lastRenderedPageBreak/>
              <w:t>apaplti pari /sopra soglia settori</w:t>
            </w:r>
            <w:r w:rsidRPr="00CF5DD9">
              <w:rPr>
                <w:rFonts w:eastAsia="Times New Roman"/>
                <w:b/>
                <w:bCs/>
                <w:kern w:val="0"/>
                <w:sz w:val="20"/>
                <w:szCs w:val="20"/>
                <w:lang w:eastAsia="it-IT"/>
              </w:rPr>
              <w:t xml:space="preserve"> </w:t>
            </w:r>
            <w:r w:rsidRPr="00CF5DD9">
              <w:rPr>
                <w:rFonts w:ascii="Arial" w:eastAsia="Times New Roman" w:hAnsi="Arial" w:cs="Arial"/>
                <w:b/>
                <w:bCs/>
                <w:kern w:val="0"/>
                <w:sz w:val="20"/>
                <w:szCs w:val="20"/>
                <w:lang w:eastAsia="it-IT"/>
              </w:rPr>
              <w:t>ordinari e settori speciali</w:t>
            </w:r>
          </w:p>
        </w:tc>
        <w:tc>
          <w:tcPr>
            <w:tcW w:w="992" w:type="dxa"/>
            <w:tcBorders>
              <w:top w:val="nil"/>
              <w:left w:val="nil"/>
              <w:bottom w:val="single" w:sz="4" w:space="0" w:color="000000"/>
              <w:right w:val="single" w:sz="4" w:space="0" w:color="000000"/>
            </w:tcBorders>
            <w:shd w:val="clear" w:color="auto" w:fill="auto"/>
            <w:hideMark/>
          </w:tcPr>
          <w:p w14:paraId="4121B3AC"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M1_</w:t>
            </w:r>
          </w:p>
        </w:tc>
        <w:tc>
          <w:tcPr>
            <w:tcW w:w="3544" w:type="dxa"/>
            <w:tcBorders>
              <w:top w:val="nil"/>
              <w:left w:val="nil"/>
              <w:bottom w:val="single" w:sz="4" w:space="0" w:color="000000"/>
              <w:right w:val="single" w:sz="4" w:space="0" w:color="000000"/>
            </w:tcBorders>
            <w:shd w:val="clear" w:color="auto" w:fill="auto"/>
            <w:hideMark/>
          </w:tcPr>
          <w:p w14:paraId="44F6A84C"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Modifica contrattuale, contratti pari o sopra soglia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direttiva generale, direttiva settoriale</w:t>
            </w:r>
          </w:p>
        </w:tc>
        <w:tc>
          <w:tcPr>
            <w:tcW w:w="3118" w:type="dxa"/>
            <w:tcBorders>
              <w:top w:val="single" w:sz="4" w:space="0" w:color="000000"/>
              <w:left w:val="nil"/>
              <w:bottom w:val="single" w:sz="4" w:space="0" w:color="000000"/>
              <w:right w:val="single" w:sz="4" w:space="0" w:color="000000"/>
            </w:tcBorders>
            <w:shd w:val="clear" w:color="auto" w:fill="auto"/>
            <w:hideMark/>
          </w:tcPr>
          <w:p w14:paraId="45A34B25"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72, paragrafo 1, della direttiva 2014/24/UE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89, paragrafo 1, della direttiva 2014/25/UE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141 comma 3 lettera i) decreto legislativo 36/2023</w:t>
            </w:r>
            <w:r w:rsidRPr="00CF5DD9">
              <w:rPr>
                <w:rFonts w:ascii="Arial" w:eastAsia="Times New Roman" w:hAnsi="Arial" w:cs="Arial"/>
                <w:kern w:val="0"/>
                <w:sz w:val="20"/>
                <w:szCs w:val="20"/>
                <w:lang w:eastAsia="it-IT"/>
              </w:rPr>
              <w:br/>
              <w:t>Articolo 120 comma 14 e comma 15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5 comma 11 e comma 12 Allegato II.14</w:t>
            </w:r>
          </w:p>
        </w:tc>
      </w:tr>
      <w:tr w:rsidR="00041B26" w:rsidRPr="00CF5DD9" w14:paraId="641A4C37" w14:textId="77777777" w:rsidTr="0093082B">
        <w:trPr>
          <w:trHeight w:val="1099"/>
        </w:trPr>
        <w:tc>
          <w:tcPr>
            <w:tcW w:w="1980" w:type="dxa"/>
            <w:tcBorders>
              <w:top w:val="nil"/>
              <w:left w:val="single" w:sz="4" w:space="0" w:color="000000"/>
              <w:bottom w:val="single" w:sz="4" w:space="0" w:color="000000"/>
              <w:right w:val="single" w:sz="4" w:space="0" w:color="000000"/>
            </w:tcBorders>
            <w:shd w:val="clear" w:color="auto" w:fill="auto"/>
            <w:hideMark/>
          </w:tcPr>
          <w:p w14:paraId="5A006ADB"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concessioni pari /sopra soglia</w:t>
            </w:r>
          </w:p>
        </w:tc>
        <w:tc>
          <w:tcPr>
            <w:tcW w:w="992" w:type="dxa"/>
            <w:tcBorders>
              <w:top w:val="nil"/>
              <w:left w:val="nil"/>
              <w:bottom w:val="single" w:sz="4" w:space="0" w:color="000000"/>
              <w:right w:val="single" w:sz="4" w:space="0" w:color="000000"/>
            </w:tcBorders>
            <w:shd w:val="clear" w:color="auto" w:fill="auto"/>
            <w:hideMark/>
          </w:tcPr>
          <w:p w14:paraId="5D103E41"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M1_</w:t>
            </w:r>
          </w:p>
        </w:tc>
        <w:tc>
          <w:tcPr>
            <w:tcW w:w="3544" w:type="dxa"/>
            <w:tcBorders>
              <w:top w:val="nil"/>
              <w:left w:val="nil"/>
              <w:bottom w:val="single" w:sz="4" w:space="0" w:color="000000"/>
              <w:right w:val="single" w:sz="4" w:space="0" w:color="000000"/>
            </w:tcBorders>
            <w:shd w:val="clear" w:color="auto" w:fill="auto"/>
            <w:hideMark/>
          </w:tcPr>
          <w:p w14:paraId="533136A1"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Modifica contrattuale, contratti pari o sopra soglia,</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direttiva concessioni</w:t>
            </w:r>
          </w:p>
        </w:tc>
        <w:tc>
          <w:tcPr>
            <w:tcW w:w="3118" w:type="dxa"/>
            <w:tcBorders>
              <w:top w:val="single" w:sz="4" w:space="0" w:color="000000"/>
              <w:left w:val="nil"/>
              <w:bottom w:val="single" w:sz="4" w:space="0" w:color="000000"/>
              <w:right w:val="single" w:sz="4" w:space="0" w:color="000000"/>
            </w:tcBorders>
            <w:shd w:val="clear" w:color="auto" w:fill="auto"/>
            <w:hideMark/>
          </w:tcPr>
          <w:p w14:paraId="2209915C"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43, paragrafo 1, della direttiva 2014/23/UE</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189 comma 5 decreto legislativo 36/2023</w:t>
            </w:r>
          </w:p>
        </w:tc>
      </w:tr>
      <w:tr w:rsidR="00041B26" w:rsidRPr="00CF5DD9" w14:paraId="27A15A29" w14:textId="77777777" w:rsidTr="0093082B">
        <w:trPr>
          <w:trHeight w:val="1620"/>
        </w:trPr>
        <w:tc>
          <w:tcPr>
            <w:tcW w:w="1980" w:type="dxa"/>
            <w:tcBorders>
              <w:top w:val="nil"/>
              <w:left w:val="single" w:sz="4" w:space="0" w:color="000000"/>
              <w:bottom w:val="single" w:sz="4" w:space="0" w:color="000000"/>
              <w:right w:val="single" w:sz="4" w:space="0" w:color="000000"/>
            </w:tcBorders>
            <w:shd w:val="clear" w:color="auto" w:fill="auto"/>
            <w:hideMark/>
          </w:tcPr>
          <w:p w14:paraId="5FEAB2FE" w14:textId="4EC1E18C" w:rsidR="00CF5DD9" w:rsidRPr="00CF5DD9" w:rsidRDefault="0093082B" w:rsidP="00CF5DD9">
            <w:pPr>
              <w:rPr>
                <w:rFonts w:eastAsia="Times New Roman"/>
                <w:color w:val="000000"/>
                <w:kern w:val="0"/>
                <w:sz w:val="20"/>
                <w:szCs w:val="20"/>
                <w:lang w:eastAsia="it-IT"/>
              </w:rPr>
            </w:pPr>
            <w:r w:rsidRPr="00CF5DD9">
              <w:rPr>
                <w:rFonts w:ascii="Arial" w:eastAsia="Times New Roman" w:hAnsi="Arial" w:cs="Arial"/>
                <w:b/>
                <w:bCs/>
                <w:kern w:val="0"/>
                <w:sz w:val="20"/>
                <w:szCs w:val="20"/>
                <w:lang w:eastAsia="it-IT"/>
              </w:rPr>
              <w:t>appalti</w:t>
            </w:r>
            <w:r w:rsidR="00CF5DD9" w:rsidRPr="00CF5DD9">
              <w:rPr>
                <w:rFonts w:ascii="Arial" w:eastAsia="Times New Roman" w:hAnsi="Arial" w:cs="Arial"/>
                <w:b/>
                <w:bCs/>
                <w:kern w:val="0"/>
                <w:sz w:val="20"/>
                <w:szCs w:val="20"/>
                <w:lang w:eastAsia="it-IT"/>
              </w:rPr>
              <w:t xml:space="preserve"> sotto soglia settori</w:t>
            </w:r>
            <w:r w:rsidR="00CF5DD9" w:rsidRPr="00CF5DD9">
              <w:rPr>
                <w:rFonts w:eastAsia="Times New Roman"/>
                <w:b/>
                <w:bCs/>
                <w:kern w:val="0"/>
                <w:sz w:val="20"/>
                <w:szCs w:val="20"/>
                <w:lang w:eastAsia="it-IT"/>
              </w:rPr>
              <w:t xml:space="preserve"> </w:t>
            </w:r>
            <w:r w:rsidR="00CF5DD9" w:rsidRPr="00CF5DD9">
              <w:rPr>
                <w:rFonts w:ascii="Arial" w:eastAsia="Times New Roman" w:hAnsi="Arial" w:cs="Arial"/>
                <w:b/>
                <w:bCs/>
                <w:kern w:val="0"/>
                <w:sz w:val="20"/>
                <w:szCs w:val="20"/>
                <w:lang w:eastAsia="it-IT"/>
              </w:rPr>
              <w:t>ordinari e settori speciali</w:t>
            </w:r>
          </w:p>
        </w:tc>
        <w:tc>
          <w:tcPr>
            <w:tcW w:w="992" w:type="dxa"/>
            <w:tcBorders>
              <w:top w:val="nil"/>
              <w:left w:val="nil"/>
              <w:bottom w:val="single" w:sz="4" w:space="0" w:color="000000"/>
              <w:right w:val="single" w:sz="4" w:space="0" w:color="000000"/>
            </w:tcBorders>
            <w:shd w:val="clear" w:color="auto" w:fill="auto"/>
            <w:hideMark/>
          </w:tcPr>
          <w:p w14:paraId="49E1B262"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M2_</w:t>
            </w:r>
          </w:p>
        </w:tc>
        <w:tc>
          <w:tcPr>
            <w:tcW w:w="3544" w:type="dxa"/>
            <w:tcBorders>
              <w:top w:val="nil"/>
              <w:left w:val="nil"/>
              <w:bottom w:val="single" w:sz="4" w:space="0" w:color="000000"/>
              <w:right w:val="single" w:sz="4" w:space="0" w:color="000000"/>
            </w:tcBorders>
            <w:shd w:val="clear" w:color="auto" w:fill="auto"/>
            <w:hideMark/>
          </w:tcPr>
          <w:p w14:paraId="728539F5" w14:textId="3BA498FF"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Modifica contrattuale,</w:t>
            </w:r>
            <w:r w:rsidR="0093082B">
              <w:rPr>
                <w:rFonts w:ascii="Arial" w:eastAsia="Times New Roman" w:hAnsi="Arial" w:cs="Arial"/>
                <w:kern w:val="0"/>
                <w:sz w:val="20"/>
                <w:szCs w:val="20"/>
                <w:lang w:eastAsia="it-IT"/>
              </w:rPr>
              <w:t xml:space="preserve"> </w:t>
            </w:r>
            <w:r w:rsidRPr="00CF5DD9">
              <w:rPr>
                <w:rFonts w:ascii="Arial" w:eastAsia="Times New Roman" w:hAnsi="Arial" w:cs="Arial"/>
                <w:kern w:val="0"/>
                <w:sz w:val="20"/>
                <w:szCs w:val="20"/>
                <w:lang w:eastAsia="it-IT"/>
              </w:rPr>
              <w:t>contratti sotto soglia, settori</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ordinari e settori speciali</w:t>
            </w:r>
          </w:p>
        </w:tc>
        <w:tc>
          <w:tcPr>
            <w:tcW w:w="3118" w:type="dxa"/>
            <w:tcBorders>
              <w:top w:val="single" w:sz="4" w:space="0" w:color="000000"/>
              <w:left w:val="nil"/>
              <w:bottom w:val="single" w:sz="4" w:space="0" w:color="000000"/>
              <w:right w:val="single" w:sz="4" w:space="0" w:color="000000"/>
            </w:tcBorders>
            <w:shd w:val="clear" w:color="auto" w:fill="auto"/>
            <w:hideMark/>
          </w:tcPr>
          <w:p w14:paraId="7C0D5C78"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72, paragrafo 1, della direttiva 2014/24/UE</w:t>
            </w:r>
            <w:r w:rsidRPr="00CF5DD9">
              <w:rPr>
                <w:rFonts w:ascii="Arial" w:eastAsia="Times New Roman" w:hAnsi="Arial" w:cs="Arial"/>
                <w:kern w:val="0"/>
                <w:sz w:val="20"/>
                <w:szCs w:val="20"/>
                <w:lang w:eastAsia="it-IT"/>
              </w:rPr>
              <w:br/>
              <w:t>Articolo 141 comma 3 lettera i) decreto 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120 comma 14 e comma 15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5 comma 11 e comma 12 Allegato II.14</w:t>
            </w:r>
          </w:p>
        </w:tc>
      </w:tr>
      <w:tr w:rsidR="00041B26" w:rsidRPr="00CF5DD9" w14:paraId="7C982342" w14:textId="77777777" w:rsidTr="0093082B">
        <w:trPr>
          <w:trHeight w:val="1200"/>
        </w:trPr>
        <w:tc>
          <w:tcPr>
            <w:tcW w:w="1980" w:type="dxa"/>
            <w:tcBorders>
              <w:top w:val="nil"/>
              <w:left w:val="single" w:sz="4" w:space="0" w:color="000000"/>
              <w:bottom w:val="single" w:sz="4" w:space="0" w:color="000000"/>
              <w:right w:val="single" w:sz="4" w:space="0" w:color="000000"/>
            </w:tcBorders>
            <w:shd w:val="clear" w:color="auto" w:fill="auto"/>
            <w:hideMark/>
          </w:tcPr>
          <w:p w14:paraId="740CA664" w14:textId="77777777" w:rsidR="00CF5DD9" w:rsidRPr="00CF5DD9" w:rsidRDefault="00CF5DD9" w:rsidP="00CF5DD9">
            <w:pPr>
              <w:rPr>
                <w:rFonts w:ascii="Arial" w:eastAsia="Times New Roman" w:hAnsi="Arial" w:cs="Arial"/>
                <w:b/>
                <w:bCs/>
                <w:kern w:val="0"/>
                <w:sz w:val="20"/>
                <w:szCs w:val="20"/>
                <w:lang w:eastAsia="it-IT"/>
              </w:rPr>
            </w:pPr>
            <w:r w:rsidRPr="00CF5DD9">
              <w:rPr>
                <w:rFonts w:ascii="Arial" w:eastAsia="Times New Roman" w:hAnsi="Arial" w:cs="Arial"/>
                <w:b/>
                <w:bCs/>
                <w:kern w:val="0"/>
                <w:sz w:val="20"/>
                <w:szCs w:val="20"/>
                <w:lang w:eastAsia="it-IT"/>
              </w:rPr>
              <w:t>concessioni sotto soglia</w:t>
            </w:r>
          </w:p>
        </w:tc>
        <w:tc>
          <w:tcPr>
            <w:tcW w:w="992" w:type="dxa"/>
            <w:tcBorders>
              <w:top w:val="nil"/>
              <w:left w:val="nil"/>
              <w:bottom w:val="single" w:sz="4" w:space="0" w:color="000000"/>
              <w:right w:val="single" w:sz="4" w:space="0" w:color="000000"/>
            </w:tcBorders>
            <w:shd w:val="clear" w:color="auto" w:fill="auto"/>
            <w:hideMark/>
          </w:tcPr>
          <w:p w14:paraId="24583FD1"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M2_</w:t>
            </w:r>
          </w:p>
        </w:tc>
        <w:tc>
          <w:tcPr>
            <w:tcW w:w="3544" w:type="dxa"/>
            <w:tcBorders>
              <w:top w:val="nil"/>
              <w:left w:val="nil"/>
              <w:bottom w:val="single" w:sz="4" w:space="0" w:color="000000"/>
              <w:right w:val="single" w:sz="4" w:space="0" w:color="000000"/>
            </w:tcBorders>
            <w:shd w:val="clear" w:color="auto" w:fill="auto"/>
            <w:hideMark/>
          </w:tcPr>
          <w:p w14:paraId="68950792" w14:textId="77777777" w:rsidR="00CF5DD9" w:rsidRPr="00CF5DD9" w:rsidRDefault="00CF5DD9" w:rsidP="00CF5DD9">
            <w:pPr>
              <w:rPr>
                <w:rFonts w:ascii="Arial" w:eastAsia="Times New Roman" w:hAnsi="Arial" w:cs="Arial"/>
                <w:kern w:val="0"/>
                <w:sz w:val="20"/>
                <w:szCs w:val="20"/>
                <w:lang w:eastAsia="it-IT"/>
              </w:rPr>
            </w:pPr>
            <w:r w:rsidRPr="00CF5DD9">
              <w:rPr>
                <w:rFonts w:ascii="Arial" w:eastAsia="Times New Roman" w:hAnsi="Arial" w:cs="Arial"/>
                <w:kern w:val="0"/>
                <w:sz w:val="20"/>
                <w:szCs w:val="20"/>
                <w:lang w:eastAsia="it-IT"/>
              </w:rPr>
              <w:t>Modifica contrattuale sottosoglia, concessioni</w:t>
            </w:r>
          </w:p>
        </w:tc>
        <w:tc>
          <w:tcPr>
            <w:tcW w:w="3118" w:type="dxa"/>
            <w:tcBorders>
              <w:top w:val="single" w:sz="4" w:space="0" w:color="000000"/>
              <w:left w:val="nil"/>
              <w:bottom w:val="single" w:sz="4" w:space="0" w:color="000000"/>
              <w:right w:val="single" w:sz="4" w:space="0" w:color="000000"/>
            </w:tcBorders>
            <w:shd w:val="clear" w:color="auto" w:fill="auto"/>
            <w:hideMark/>
          </w:tcPr>
          <w:p w14:paraId="3850534B" w14:textId="77777777" w:rsidR="00CF5DD9" w:rsidRPr="00CF5DD9" w:rsidRDefault="00CF5DD9" w:rsidP="00CF5DD9">
            <w:pPr>
              <w:rPr>
                <w:rFonts w:eastAsia="Times New Roman"/>
                <w:color w:val="000000"/>
                <w:kern w:val="0"/>
                <w:sz w:val="20"/>
                <w:szCs w:val="20"/>
                <w:lang w:eastAsia="it-IT"/>
              </w:rPr>
            </w:pPr>
            <w:r w:rsidRPr="00CF5DD9">
              <w:rPr>
                <w:rFonts w:ascii="Arial" w:eastAsia="Times New Roman" w:hAnsi="Arial" w:cs="Arial"/>
                <w:kern w:val="0"/>
                <w:sz w:val="20"/>
                <w:szCs w:val="20"/>
                <w:lang w:eastAsia="it-IT"/>
              </w:rPr>
              <w:t>Articolo 187 comma 2 decreto legislativo 36/2023</w:t>
            </w:r>
            <w:r w:rsidRPr="00CF5DD9">
              <w:rPr>
                <w:rFonts w:eastAsia="Times New Roman"/>
                <w:kern w:val="0"/>
                <w:sz w:val="20"/>
                <w:szCs w:val="20"/>
                <w:lang w:eastAsia="it-IT"/>
              </w:rPr>
              <w:t xml:space="preserve"> </w:t>
            </w:r>
            <w:r w:rsidRPr="00CF5DD9">
              <w:rPr>
                <w:rFonts w:ascii="Arial" w:eastAsia="Times New Roman" w:hAnsi="Arial" w:cs="Arial"/>
                <w:kern w:val="0"/>
                <w:sz w:val="20"/>
                <w:szCs w:val="20"/>
                <w:lang w:eastAsia="it-IT"/>
              </w:rPr>
              <w:t>Articolo 189 comma 5 decreto legislativo 36/2023</w:t>
            </w:r>
          </w:p>
        </w:tc>
      </w:tr>
    </w:tbl>
    <w:p w14:paraId="418C9D30" w14:textId="77777777" w:rsidR="00CF5DD9" w:rsidRDefault="00CF5DD9"/>
    <w:p w14:paraId="064E01CD" w14:textId="784F926A" w:rsidR="00392637" w:rsidRPr="008B47DE" w:rsidRDefault="008B47DE" w:rsidP="00392637">
      <w:pPr>
        <w:rPr>
          <w:b/>
          <w:bCs/>
        </w:rPr>
      </w:pPr>
      <w:r w:rsidRPr="008B47DE">
        <w:rPr>
          <w:b/>
          <w:bCs/>
        </w:rPr>
        <w:t>AVVISI DI PRE-INFORMAZIONE</w:t>
      </w:r>
    </w:p>
    <w:p w14:paraId="79A7D6F5" w14:textId="77777777" w:rsidR="00392637" w:rsidRDefault="00392637" w:rsidP="00392637"/>
    <w:p w14:paraId="4A153EE4" w14:textId="77777777" w:rsidR="009428FA" w:rsidRDefault="008B47DE" w:rsidP="00392637">
      <w:r>
        <w:t>Allo scopo di incrementare la trasparenza e anche poter contare su riduzioni dei termini procedurali, ai sensi dell’articolo 81, comma 1, del codice l</w:t>
      </w:r>
      <w:r w:rsidR="00392637">
        <w:t xml:space="preserve">e stazioni appaltanti rendono nota entro il 31 dicembre di ogni anno l'intenzione di bandire per l'anno successivo appalti, pubblicando sul proprio sito istituzionale un avviso di pre-informazione recante le informazioni di cui all'allegato II.6, Parte I, lettera B, sezione B.1. </w:t>
      </w:r>
    </w:p>
    <w:p w14:paraId="36EE6BC4" w14:textId="49B1EE71" w:rsidR="00392637" w:rsidRDefault="00392637" w:rsidP="00392637">
      <w:r>
        <w:t>Per gli appalti di importo pari o superiore alle soglie di cui all'articolo 14, l’avviso di pre-informazione è pubblicato dall'Ufficio delle pubblicazioni dell'Unione europea o dalla stazione appaltante sul proprio sito istituzionale. In quest'ultimo caso le stazioni appaltanti comunicano l’avviso di pre-informazione all’ANAC che, tramite la Banca dati nazionale dei contratti pubblici, cura l’invio al suddetto Ufficio di un avviso relativo alla pubblicazione sul sito istituzionale della stazione appaltante contenente le informazioni di cui all’allegato II.6, Parte I, lettera A.</w:t>
      </w:r>
    </w:p>
    <w:p w14:paraId="387C7623" w14:textId="67A5960D" w:rsidR="00392637" w:rsidRDefault="00392637" w:rsidP="00392637">
      <w:r>
        <w:t>Per le procedure ristrette e le procedure competitive con negoziazione, le stazioni appaltanti sub-centrali possono utilizzare un avviso di pre-informazione come indizione di gara, purché l'avviso soddisfi tutte le seguenti condizioni:</w:t>
      </w:r>
    </w:p>
    <w:p w14:paraId="636CA1AD" w14:textId="77777777" w:rsidR="00392637" w:rsidRDefault="00392637" w:rsidP="00392637">
      <w:r>
        <w:t>a) si riferisca specificatamente alle forniture, ai lavori o ai servizi che saranno oggetto dell'appalto da aggiudicare;</w:t>
      </w:r>
    </w:p>
    <w:p w14:paraId="59834C3A" w14:textId="77777777" w:rsidR="00392637" w:rsidRDefault="00392637" w:rsidP="00392637">
      <w:r>
        <w:t>b) indichi che l'appalto sarà aggiudicato mediante una procedura ristretta o una procedura competitiva con negoziazione senza ulteriore pubblicazione di un avviso di indizione di gara e inviti gli operatori economici interessati a manifestare il proprio interesse;</w:t>
      </w:r>
    </w:p>
    <w:p w14:paraId="1D1039DE" w14:textId="77777777" w:rsidR="00392637" w:rsidRDefault="00392637" w:rsidP="00392637">
      <w:r>
        <w:t>c) contenga, oltre alle informazioni di cui all'allegato II.6, Parte I, lettera B, sezione B.1, le informazioni di cui al medesimo all’allegato II.6, Parte I, lettera B, sezione B.2;</w:t>
      </w:r>
    </w:p>
    <w:p w14:paraId="1288C99A" w14:textId="77777777" w:rsidR="00392637" w:rsidRDefault="00392637" w:rsidP="00392637">
      <w:r>
        <w:t>d) sia stato inviato alla pubblicazione non meno di trentacinque giorni e non oltre 12 dodici mesi prima della data di invio dell'invito a confermare l’interesse di cui all'articolo 89, comma 1.</w:t>
      </w:r>
    </w:p>
    <w:p w14:paraId="24AAC528" w14:textId="77777777" w:rsidR="00392637" w:rsidRDefault="00392637" w:rsidP="00392637"/>
    <w:p w14:paraId="465A4973" w14:textId="3E0B2B22" w:rsidR="00392637" w:rsidRDefault="00392637" w:rsidP="00392637">
      <w:r>
        <w:lastRenderedPageBreak/>
        <w:t xml:space="preserve">L'avviso di cui </w:t>
      </w:r>
      <w:r w:rsidR="009428FA">
        <w:t xml:space="preserve">immediatamente sopra </w:t>
      </w:r>
      <w:r>
        <w:t>è pubblicato sul sito istituzionale della stazione appaltante quale pubblicazione supplementare a livello nazionale, a norma dell'articolo 85.</w:t>
      </w:r>
    </w:p>
    <w:p w14:paraId="4A51360A" w14:textId="4D829E3A" w:rsidR="00392637" w:rsidRDefault="00392637" w:rsidP="00392637">
      <w:r>
        <w:t>Il periodo coperto dall'avviso di pre-informazione non può superare il termine di dodici mesi dalla data di trasmissione dell'avviso per la pubblicazione. Tuttavia, nel caso di appalti pubblici per i servizi di cui all’allegato XIV alla direttiva 2014/24/UE del Parlamento europeo e del Consiglio, del 26 febbraio 2014, l'avviso di pre-informazione può coprire un periodo fino a ventiquattro mesi.</w:t>
      </w:r>
    </w:p>
    <w:p w14:paraId="28930C14" w14:textId="77777777" w:rsidR="00392637" w:rsidRDefault="00392637" w:rsidP="00392637"/>
    <w:p w14:paraId="2C432B11" w14:textId="4849F0E8" w:rsidR="00392637" w:rsidRPr="009428FA" w:rsidRDefault="009428FA" w:rsidP="00392637">
      <w:pPr>
        <w:rPr>
          <w:b/>
          <w:bCs/>
        </w:rPr>
      </w:pPr>
      <w:r w:rsidRPr="009428FA">
        <w:rPr>
          <w:b/>
          <w:bCs/>
        </w:rPr>
        <w:t>DOCUMENTI DI GARA</w:t>
      </w:r>
    </w:p>
    <w:p w14:paraId="2217C0BA" w14:textId="25B47F2C" w:rsidR="00392637" w:rsidRDefault="009428FA" w:rsidP="00392637">
      <w:r>
        <w:t>L’articolo 82 del codice chiarisce che c</w:t>
      </w:r>
      <w:r w:rsidR="00392637">
        <w:t>ostituiscono documenti di gara,</w:t>
      </w:r>
      <w:r>
        <w:t xml:space="preserve"> ai quali occorre dare specifica pubblicità,</w:t>
      </w:r>
      <w:r w:rsidR="00392637">
        <w:t xml:space="preserve"> in particolare:</w:t>
      </w:r>
    </w:p>
    <w:p w14:paraId="0E3FCB4C" w14:textId="77777777" w:rsidR="00392637" w:rsidRDefault="00392637" w:rsidP="00392637">
      <w:r>
        <w:t>a) il bando, l’avviso di gara o la lettera d’invito;</w:t>
      </w:r>
    </w:p>
    <w:p w14:paraId="4066ED8A" w14:textId="77777777" w:rsidR="00392637" w:rsidRDefault="00392637" w:rsidP="00392637">
      <w:r>
        <w:t>b) il disciplinare di gara;</w:t>
      </w:r>
    </w:p>
    <w:p w14:paraId="47B3932F" w14:textId="77777777" w:rsidR="00392637" w:rsidRDefault="00392637" w:rsidP="00392637">
      <w:r>
        <w:t>c) il capitolato speciale;</w:t>
      </w:r>
    </w:p>
    <w:p w14:paraId="4F2259ED" w14:textId="77777777" w:rsidR="00392637" w:rsidRDefault="00392637" w:rsidP="00392637">
      <w:r>
        <w:t>d) le condizioni contrattuali proposte.</w:t>
      </w:r>
    </w:p>
    <w:p w14:paraId="0CD34328" w14:textId="52ACF2A8" w:rsidR="00392637" w:rsidRDefault="00392637" w:rsidP="00392637">
      <w:r>
        <w:t xml:space="preserve">In caso di contrasto o contraddittorietà tra le disposizioni contenute </w:t>
      </w:r>
      <w:r w:rsidR="009428FA">
        <w:t>in tali</w:t>
      </w:r>
      <w:r>
        <w:t xml:space="preserve"> documenti prevalgono quelle inserite nel bando o nell’avviso di gara.</w:t>
      </w:r>
    </w:p>
    <w:p w14:paraId="1FC41D17" w14:textId="77777777" w:rsidR="00392637" w:rsidRDefault="00392637" w:rsidP="00392637"/>
    <w:p w14:paraId="1494EEFC" w14:textId="3F0D1E55" w:rsidR="00392637" w:rsidRDefault="00C76B90" w:rsidP="00392637">
      <w:r w:rsidRPr="00C76B90">
        <w:rPr>
          <w:b/>
          <w:bCs/>
        </w:rPr>
        <w:t>BANDI E AVVISI: CONTENUTI E MODALITÀ DI REDAZIONE</w:t>
      </w:r>
    </w:p>
    <w:p w14:paraId="30A0EE39" w14:textId="55BA6E8F" w:rsidR="00392637" w:rsidRDefault="00C76B90" w:rsidP="00392637">
      <w:r>
        <w:t>In particolare l’articolo 83 del codice si dedica ai contenuti dei bandi, atti fondamentali per l’adeguata pubblicità alle gare mediante procedure ordinarie.</w:t>
      </w:r>
    </w:p>
    <w:p w14:paraId="137032C6" w14:textId="77777777" w:rsidR="00C76B90" w:rsidRDefault="00C76B90" w:rsidP="00392637">
      <w:r>
        <w:t>Ai sensi del comma 1m t</w:t>
      </w:r>
      <w:r w:rsidR="00392637">
        <w:t>utte le procedure di scelta del contraente sono indette mediante bandi o avvisi di gara, salve le eccezioni di legge.</w:t>
      </w:r>
      <w:r>
        <w:t xml:space="preserve"> Tra queste eccezioni rientrano quelle connesse agli affidamenti sottosoglia, di cui al complesso degli articolo da 48 a 55 del codice.</w:t>
      </w:r>
    </w:p>
    <w:p w14:paraId="28DFCEC9" w14:textId="52589E03" w:rsidR="00392637" w:rsidRDefault="00392637" w:rsidP="00392637">
      <w:r>
        <w:t>Nei bandi o negli avvisi è indicato il Codice Identificativo della Gara codice identificativo di gara (CIG) acquisito attraverso la Banca dati nazionale dei contratti pubblici.</w:t>
      </w:r>
    </w:p>
    <w:p w14:paraId="5C050338" w14:textId="77777777" w:rsidR="00C5206F" w:rsidRDefault="00392637" w:rsidP="00392637">
      <w:r>
        <w:t xml:space="preserve">I bandi, gli avvisi di pre-informazione e gli avvisi relativi agli appalti aggiudicati contengono le informazioni rispettivamente indicate nell’allegato II.6. </w:t>
      </w:r>
    </w:p>
    <w:p w14:paraId="57C545B7" w14:textId="77777777" w:rsidR="00C5206F" w:rsidRDefault="00C5206F" w:rsidP="00392637"/>
    <w:p w14:paraId="4A0033EB" w14:textId="15903170" w:rsidR="00C5206F" w:rsidRDefault="00C5206F" w:rsidP="004C45EE">
      <w:pPr>
        <w:shd w:val="clear" w:color="auto" w:fill="F2F2F2" w:themeFill="background1" w:themeFillShade="F2"/>
      </w:pPr>
      <w:r>
        <w:t>PER APPROFONDIRE</w:t>
      </w:r>
    </w:p>
    <w:tbl>
      <w:tblPr>
        <w:tblW w:w="10180" w:type="dxa"/>
        <w:tblInd w:w="70" w:type="dxa"/>
        <w:tblCellMar>
          <w:left w:w="70" w:type="dxa"/>
          <w:right w:w="70" w:type="dxa"/>
        </w:tblCellMar>
        <w:tblLook w:val="04A0" w:firstRow="1" w:lastRow="0" w:firstColumn="1" w:lastColumn="0" w:noHBand="0" w:noVBand="1"/>
      </w:tblPr>
      <w:tblGrid>
        <w:gridCol w:w="10180"/>
      </w:tblGrid>
      <w:tr w:rsidR="004C45EE" w:rsidRPr="004C45EE" w14:paraId="1BE08C02" w14:textId="77777777" w:rsidTr="004C45EE">
        <w:trPr>
          <w:trHeight w:val="255"/>
        </w:trPr>
        <w:tc>
          <w:tcPr>
            <w:tcW w:w="10180" w:type="dxa"/>
            <w:tcBorders>
              <w:top w:val="nil"/>
              <w:left w:val="nil"/>
              <w:bottom w:val="nil"/>
              <w:right w:val="nil"/>
            </w:tcBorders>
            <w:shd w:val="clear" w:color="auto" w:fill="auto"/>
            <w:hideMark/>
          </w:tcPr>
          <w:p w14:paraId="034C297E" w14:textId="77777777" w:rsidR="004C45EE" w:rsidRPr="004C45EE" w:rsidRDefault="004C45EE" w:rsidP="004C45EE">
            <w:pPr>
              <w:shd w:val="clear" w:color="auto" w:fill="F2F2F2" w:themeFill="background1" w:themeFillShade="F2"/>
              <w:rPr>
                <w:rFonts w:eastAsia="Times New Roman"/>
                <w:color w:val="000000"/>
                <w:kern w:val="0"/>
                <w:sz w:val="20"/>
                <w:szCs w:val="20"/>
                <w:lang w:eastAsia="it-IT"/>
              </w:rPr>
            </w:pPr>
            <w:r w:rsidRPr="004C45EE">
              <w:rPr>
                <w:rFonts w:eastAsia="Times New Roman"/>
                <w:b/>
                <w:bCs/>
                <w:kern w:val="0"/>
                <w:sz w:val="20"/>
                <w:szCs w:val="20"/>
                <w:lang w:eastAsia="it-IT"/>
              </w:rPr>
              <w:t xml:space="preserve">ALLEGATO II.6 - Informazioni in avvisi e bandi                      </w:t>
            </w:r>
            <w:r w:rsidRPr="004C45EE">
              <w:rPr>
                <w:rFonts w:eastAsia="Times New Roman"/>
                <w:kern w:val="0"/>
                <w:sz w:val="20"/>
                <w:szCs w:val="20"/>
                <w:lang w:eastAsia="it-IT"/>
              </w:rPr>
              <w:t>(Articolo 71, comma 4)</w:t>
            </w:r>
          </w:p>
        </w:tc>
      </w:tr>
      <w:tr w:rsidR="004C45EE" w:rsidRPr="004C45EE" w14:paraId="0045E838" w14:textId="77777777" w:rsidTr="004C45EE">
        <w:trPr>
          <w:trHeight w:val="255"/>
        </w:trPr>
        <w:tc>
          <w:tcPr>
            <w:tcW w:w="10180" w:type="dxa"/>
            <w:tcBorders>
              <w:top w:val="nil"/>
              <w:left w:val="nil"/>
              <w:bottom w:val="nil"/>
              <w:right w:val="nil"/>
            </w:tcBorders>
            <w:shd w:val="clear" w:color="auto" w:fill="auto"/>
            <w:hideMark/>
          </w:tcPr>
          <w:p w14:paraId="1067FC47" w14:textId="77777777" w:rsidR="004C45EE" w:rsidRPr="004C45EE" w:rsidRDefault="004C45EE" w:rsidP="004C45EE">
            <w:pPr>
              <w:shd w:val="clear" w:color="auto" w:fill="F2F2F2" w:themeFill="background1" w:themeFillShade="F2"/>
              <w:jc w:val="center"/>
              <w:rPr>
                <w:rFonts w:eastAsia="Times New Roman"/>
                <w:b/>
                <w:bCs/>
                <w:kern w:val="0"/>
                <w:sz w:val="20"/>
                <w:szCs w:val="20"/>
                <w:lang w:eastAsia="it-IT"/>
              </w:rPr>
            </w:pPr>
            <w:r w:rsidRPr="004C45EE">
              <w:rPr>
                <w:rFonts w:eastAsia="Times New Roman"/>
                <w:b/>
                <w:bCs/>
                <w:kern w:val="0"/>
                <w:sz w:val="20"/>
                <w:szCs w:val="20"/>
                <w:lang w:eastAsia="it-IT"/>
              </w:rPr>
              <w:t>PARTE I</w:t>
            </w:r>
          </w:p>
        </w:tc>
      </w:tr>
      <w:tr w:rsidR="004C45EE" w:rsidRPr="004C45EE" w14:paraId="7D203BD5" w14:textId="77777777" w:rsidTr="004C45EE">
        <w:trPr>
          <w:trHeight w:val="255"/>
        </w:trPr>
        <w:tc>
          <w:tcPr>
            <w:tcW w:w="10180" w:type="dxa"/>
            <w:tcBorders>
              <w:top w:val="nil"/>
              <w:left w:val="nil"/>
              <w:bottom w:val="nil"/>
              <w:right w:val="nil"/>
            </w:tcBorders>
            <w:shd w:val="clear" w:color="auto" w:fill="auto"/>
            <w:hideMark/>
          </w:tcPr>
          <w:p w14:paraId="14EA5735" w14:textId="77777777" w:rsidR="004C45EE" w:rsidRPr="004C45EE" w:rsidRDefault="004C45EE" w:rsidP="004C45EE">
            <w:pPr>
              <w:shd w:val="clear" w:color="auto" w:fill="F2F2F2" w:themeFill="background1" w:themeFillShade="F2"/>
              <w:jc w:val="center"/>
              <w:rPr>
                <w:rFonts w:eastAsia="Times New Roman"/>
                <w:b/>
                <w:bCs/>
                <w:kern w:val="0"/>
                <w:sz w:val="20"/>
                <w:szCs w:val="20"/>
                <w:lang w:eastAsia="it-IT"/>
              </w:rPr>
            </w:pPr>
            <w:r w:rsidRPr="004C45EE">
              <w:rPr>
                <w:rFonts w:eastAsia="Times New Roman"/>
                <w:b/>
                <w:bCs/>
                <w:kern w:val="0"/>
                <w:sz w:val="20"/>
                <w:szCs w:val="20"/>
                <w:lang w:eastAsia="it-IT"/>
              </w:rPr>
              <w:t>INFORMAZIONI CHE DEVONO FIGURARE NEGLI AVVISI E NEI BANDI NEI SETTORI ORDINARI</w:t>
            </w:r>
          </w:p>
        </w:tc>
      </w:tr>
      <w:tr w:rsidR="004C45EE" w:rsidRPr="004C45EE" w14:paraId="329252AE" w14:textId="77777777" w:rsidTr="004C45EE">
        <w:trPr>
          <w:trHeight w:val="510"/>
        </w:trPr>
        <w:tc>
          <w:tcPr>
            <w:tcW w:w="10180" w:type="dxa"/>
            <w:tcBorders>
              <w:top w:val="nil"/>
              <w:left w:val="nil"/>
              <w:bottom w:val="nil"/>
              <w:right w:val="nil"/>
            </w:tcBorders>
            <w:shd w:val="clear" w:color="auto" w:fill="auto"/>
            <w:hideMark/>
          </w:tcPr>
          <w:p w14:paraId="58A44FB2"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A – INFORMAZIONI CHE DEVONO FIGURARE NEGLI AVVISI CHE ANNUNCIANO LA PUBBLICAZIONE NEL SITO ISTITUZIONALE</w:t>
            </w:r>
          </w:p>
        </w:tc>
      </w:tr>
      <w:tr w:rsidR="004C45EE" w:rsidRPr="004C45EE" w14:paraId="27C1EB6C" w14:textId="77777777" w:rsidTr="004C45EE">
        <w:trPr>
          <w:trHeight w:val="255"/>
        </w:trPr>
        <w:tc>
          <w:tcPr>
            <w:tcW w:w="10180" w:type="dxa"/>
            <w:tcBorders>
              <w:top w:val="nil"/>
              <w:left w:val="nil"/>
              <w:bottom w:val="nil"/>
              <w:right w:val="nil"/>
            </w:tcBorders>
            <w:shd w:val="clear" w:color="auto" w:fill="auto"/>
            <w:hideMark/>
          </w:tcPr>
          <w:p w14:paraId="327AB015" w14:textId="77777777" w:rsidR="004C45EE" w:rsidRPr="004C45EE" w:rsidRDefault="004C45EE" w:rsidP="004C45EE">
            <w:pPr>
              <w:shd w:val="clear" w:color="auto" w:fill="F2F2F2" w:themeFill="background1" w:themeFillShade="F2"/>
              <w:rPr>
                <w:rFonts w:eastAsia="Times New Roman"/>
                <w:color w:val="000000"/>
                <w:kern w:val="0"/>
                <w:sz w:val="20"/>
                <w:szCs w:val="20"/>
                <w:lang w:eastAsia="it-IT"/>
              </w:rPr>
            </w:pPr>
            <w:r w:rsidRPr="004C45EE">
              <w:rPr>
                <w:rFonts w:eastAsia="Times New Roman"/>
                <w:b/>
                <w:bCs/>
                <w:kern w:val="0"/>
                <w:sz w:val="20"/>
                <w:szCs w:val="20"/>
                <w:lang w:eastAsia="it-IT"/>
              </w:rPr>
              <w:t>DELLA STAZIONE APPALTANTE DI UN AVVISO DI PRE</w:t>
            </w:r>
            <w:r w:rsidRPr="004C45EE">
              <w:rPr>
                <w:rFonts w:eastAsia="Times New Roman"/>
                <w:kern w:val="0"/>
                <w:sz w:val="20"/>
                <w:szCs w:val="20"/>
                <w:lang w:eastAsia="it-IT"/>
              </w:rPr>
              <w:t>-</w:t>
            </w:r>
            <w:r w:rsidRPr="004C45EE">
              <w:rPr>
                <w:rFonts w:eastAsia="Times New Roman"/>
                <w:b/>
                <w:bCs/>
                <w:kern w:val="0"/>
                <w:sz w:val="20"/>
                <w:szCs w:val="20"/>
                <w:lang w:eastAsia="it-IT"/>
              </w:rPr>
              <w:t>INFORMAZIONE (articolo 81, comma 1)</w:t>
            </w:r>
          </w:p>
        </w:tc>
      </w:tr>
      <w:tr w:rsidR="004C45EE" w:rsidRPr="004C45EE" w14:paraId="7A92D3FE" w14:textId="77777777" w:rsidTr="004C45EE">
        <w:trPr>
          <w:trHeight w:val="510"/>
        </w:trPr>
        <w:tc>
          <w:tcPr>
            <w:tcW w:w="10180" w:type="dxa"/>
            <w:tcBorders>
              <w:top w:val="nil"/>
              <w:left w:val="nil"/>
              <w:bottom w:val="nil"/>
              <w:right w:val="nil"/>
            </w:tcBorders>
            <w:shd w:val="clear" w:color="auto" w:fill="auto"/>
            <w:hideMark/>
          </w:tcPr>
          <w:p w14:paraId="5571674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indirizzo comprensivo di codice NUTS, telefono, fax, posta elettronica e indirizzo Internet della stazione appaltante e, se diverso, del servizio al quale rivolgersi per informazioni complementari.</w:t>
            </w:r>
          </w:p>
        </w:tc>
      </w:tr>
      <w:tr w:rsidR="004C45EE" w:rsidRPr="004C45EE" w14:paraId="2214A9E5" w14:textId="77777777" w:rsidTr="004C45EE">
        <w:trPr>
          <w:trHeight w:val="255"/>
        </w:trPr>
        <w:tc>
          <w:tcPr>
            <w:tcW w:w="10180" w:type="dxa"/>
            <w:tcBorders>
              <w:top w:val="nil"/>
              <w:left w:val="nil"/>
              <w:bottom w:val="nil"/>
              <w:right w:val="nil"/>
            </w:tcBorders>
            <w:shd w:val="clear" w:color="auto" w:fill="auto"/>
            <w:hideMark/>
          </w:tcPr>
          <w:p w14:paraId="6DDBBDF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Tipo di amministrazione appaltante e principale attività esercitata.</w:t>
            </w:r>
          </w:p>
        </w:tc>
      </w:tr>
      <w:tr w:rsidR="004C45EE" w:rsidRPr="004C45EE" w14:paraId="0FDC1647" w14:textId="77777777" w:rsidTr="004C45EE">
        <w:trPr>
          <w:trHeight w:val="510"/>
        </w:trPr>
        <w:tc>
          <w:tcPr>
            <w:tcW w:w="10180" w:type="dxa"/>
            <w:tcBorders>
              <w:top w:val="nil"/>
              <w:left w:val="nil"/>
              <w:bottom w:val="nil"/>
              <w:right w:val="nil"/>
            </w:tcBorders>
            <w:shd w:val="clear" w:color="auto" w:fill="auto"/>
            <w:hideMark/>
          </w:tcPr>
          <w:p w14:paraId="0DC669F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Se del caso, l'indicazione che la stazione appaltante è una centrale di committenza o che si tratta o può trattarsi di una qualsiasi altra forma di appalto congiunto.</w:t>
            </w:r>
          </w:p>
        </w:tc>
      </w:tr>
      <w:tr w:rsidR="004C45EE" w:rsidRPr="004C45EE" w14:paraId="46BD24C0" w14:textId="77777777" w:rsidTr="004C45EE">
        <w:trPr>
          <w:trHeight w:val="255"/>
        </w:trPr>
        <w:tc>
          <w:tcPr>
            <w:tcW w:w="10180" w:type="dxa"/>
            <w:tcBorders>
              <w:top w:val="nil"/>
              <w:left w:val="nil"/>
              <w:bottom w:val="nil"/>
              <w:right w:val="nil"/>
            </w:tcBorders>
            <w:shd w:val="clear" w:color="auto" w:fill="auto"/>
            <w:hideMark/>
          </w:tcPr>
          <w:p w14:paraId="094F6AB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Codici CPV.</w:t>
            </w:r>
          </w:p>
        </w:tc>
      </w:tr>
      <w:tr w:rsidR="004C45EE" w:rsidRPr="004C45EE" w14:paraId="327867F1" w14:textId="77777777" w:rsidTr="004C45EE">
        <w:trPr>
          <w:trHeight w:val="255"/>
        </w:trPr>
        <w:tc>
          <w:tcPr>
            <w:tcW w:w="10180" w:type="dxa"/>
            <w:tcBorders>
              <w:top w:val="nil"/>
              <w:left w:val="nil"/>
              <w:bottom w:val="nil"/>
              <w:right w:val="nil"/>
            </w:tcBorders>
            <w:shd w:val="clear" w:color="auto" w:fill="auto"/>
            <w:hideMark/>
          </w:tcPr>
          <w:p w14:paraId="6137BDC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Indirizzo Internet del «sito istituzionale della stazione appaltante» (URL).</w:t>
            </w:r>
          </w:p>
        </w:tc>
      </w:tr>
      <w:tr w:rsidR="004C45EE" w:rsidRPr="004C45EE" w14:paraId="1A915121" w14:textId="77777777" w:rsidTr="004C45EE">
        <w:trPr>
          <w:trHeight w:val="510"/>
        </w:trPr>
        <w:tc>
          <w:tcPr>
            <w:tcW w:w="10180" w:type="dxa"/>
            <w:tcBorders>
              <w:top w:val="nil"/>
              <w:left w:val="nil"/>
              <w:bottom w:val="nil"/>
              <w:right w:val="nil"/>
            </w:tcBorders>
            <w:shd w:val="clear" w:color="auto" w:fill="auto"/>
            <w:hideMark/>
          </w:tcPr>
          <w:p w14:paraId="50384A9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Data di spedizione dell'avviso di pubblicazione sul sito istituzionale della stazione appaltante dell'avviso di pre-informazione.</w:t>
            </w:r>
          </w:p>
        </w:tc>
      </w:tr>
      <w:tr w:rsidR="004C45EE" w:rsidRPr="004C45EE" w14:paraId="23C5A713" w14:textId="77777777" w:rsidTr="004C45EE">
        <w:trPr>
          <w:trHeight w:val="255"/>
        </w:trPr>
        <w:tc>
          <w:tcPr>
            <w:tcW w:w="10180" w:type="dxa"/>
            <w:tcBorders>
              <w:top w:val="nil"/>
              <w:left w:val="nil"/>
              <w:bottom w:val="nil"/>
              <w:right w:val="nil"/>
            </w:tcBorders>
            <w:shd w:val="clear" w:color="auto" w:fill="auto"/>
            <w:hideMark/>
          </w:tcPr>
          <w:p w14:paraId="53E21828" w14:textId="77777777" w:rsidR="004C45EE" w:rsidRPr="004C45EE" w:rsidRDefault="004C45EE" w:rsidP="004C45EE">
            <w:pPr>
              <w:shd w:val="clear" w:color="auto" w:fill="F2F2F2" w:themeFill="background1" w:themeFillShade="F2"/>
              <w:rPr>
                <w:rFonts w:eastAsia="Times New Roman"/>
                <w:color w:val="000000"/>
                <w:kern w:val="0"/>
                <w:sz w:val="20"/>
                <w:szCs w:val="20"/>
                <w:lang w:eastAsia="it-IT"/>
              </w:rPr>
            </w:pPr>
            <w:r w:rsidRPr="004C45EE">
              <w:rPr>
                <w:rFonts w:eastAsia="Times New Roman"/>
                <w:b/>
                <w:bCs/>
                <w:kern w:val="0"/>
                <w:sz w:val="20"/>
                <w:szCs w:val="20"/>
                <w:lang w:eastAsia="it-IT"/>
              </w:rPr>
              <w:t>B - INFORMAZIONI CHE DEVONO FIGURARE NEGLI AVVISI DI PRE</w:t>
            </w:r>
            <w:r w:rsidRPr="004C45EE">
              <w:rPr>
                <w:rFonts w:eastAsia="Times New Roman"/>
                <w:kern w:val="0"/>
                <w:sz w:val="20"/>
                <w:szCs w:val="20"/>
                <w:lang w:eastAsia="it-IT"/>
              </w:rPr>
              <w:t>-</w:t>
            </w:r>
            <w:r w:rsidRPr="004C45EE">
              <w:rPr>
                <w:rFonts w:eastAsia="Times New Roman"/>
                <w:b/>
                <w:bCs/>
                <w:kern w:val="0"/>
                <w:sz w:val="20"/>
                <w:szCs w:val="20"/>
                <w:lang w:eastAsia="it-IT"/>
              </w:rPr>
              <w:t>INFORMAZIONE (articolo 81, comma 1)</w:t>
            </w:r>
          </w:p>
        </w:tc>
      </w:tr>
      <w:tr w:rsidR="004C45EE" w:rsidRPr="004C45EE" w14:paraId="5EC15F55" w14:textId="77777777" w:rsidTr="004C45EE">
        <w:trPr>
          <w:trHeight w:val="255"/>
        </w:trPr>
        <w:tc>
          <w:tcPr>
            <w:tcW w:w="10180" w:type="dxa"/>
            <w:tcBorders>
              <w:top w:val="nil"/>
              <w:left w:val="nil"/>
              <w:bottom w:val="nil"/>
              <w:right w:val="nil"/>
            </w:tcBorders>
            <w:shd w:val="clear" w:color="auto" w:fill="auto"/>
            <w:hideMark/>
          </w:tcPr>
          <w:p w14:paraId="70A756FF"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SEZIONE B.1 – Informazioni che devono comparire in ogni caso.</w:t>
            </w:r>
          </w:p>
        </w:tc>
      </w:tr>
      <w:tr w:rsidR="004C45EE" w:rsidRPr="004C45EE" w14:paraId="4D744E10" w14:textId="77777777" w:rsidTr="004C45EE">
        <w:trPr>
          <w:trHeight w:val="510"/>
        </w:trPr>
        <w:tc>
          <w:tcPr>
            <w:tcW w:w="10180" w:type="dxa"/>
            <w:tcBorders>
              <w:top w:val="nil"/>
              <w:left w:val="nil"/>
              <w:bottom w:val="nil"/>
              <w:right w:val="nil"/>
            </w:tcBorders>
            <w:shd w:val="clear" w:color="auto" w:fill="auto"/>
            <w:hideMark/>
          </w:tcPr>
          <w:p w14:paraId="3B7332E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codice identificativo della gara, indirizzo comprensivo di codice NUTS, telefono, posta elettronica e indirizzo Internet della stazione appaltante e, se diverso, del servizio al quale rivolgersi per informazioni complementari.</w:t>
            </w:r>
          </w:p>
        </w:tc>
      </w:tr>
      <w:tr w:rsidR="004C45EE" w:rsidRPr="004C45EE" w14:paraId="1255C054" w14:textId="77777777" w:rsidTr="004C45EE">
        <w:trPr>
          <w:trHeight w:val="765"/>
        </w:trPr>
        <w:tc>
          <w:tcPr>
            <w:tcW w:w="10180" w:type="dxa"/>
            <w:tcBorders>
              <w:top w:val="nil"/>
              <w:left w:val="nil"/>
              <w:bottom w:val="nil"/>
              <w:right w:val="nil"/>
            </w:tcBorders>
            <w:shd w:val="clear" w:color="auto" w:fill="auto"/>
            <w:hideMark/>
          </w:tcPr>
          <w:p w14:paraId="01E3919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Collegamento ipertestuale al quale i documenti di gara saranno disponibili per l’accesso gratuito, illimitato e diretto. Se l’accesso gratuito, illimitato e diretto non è disponibile per i motivi illustrati all’articolo 88, comma 2, un’indicazione relativa alle modalità di accesso ai documenti di gara.</w:t>
            </w:r>
          </w:p>
        </w:tc>
      </w:tr>
      <w:tr w:rsidR="004C45EE" w:rsidRPr="004C45EE" w14:paraId="2715CBEB" w14:textId="77777777" w:rsidTr="004C45EE">
        <w:trPr>
          <w:trHeight w:val="255"/>
        </w:trPr>
        <w:tc>
          <w:tcPr>
            <w:tcW w:w="10180" w:type="dxa"/>
            <w:tcBorders>
              <w:top w:val="nil"/>
              <w:left w:val="nil"/>
              <w:bottom w:val="nil"/>
              <w:right w:val="nil"/>
            </w:tcBorders>
            <w:shd w:val="clear" w:color="auto" w:fill="auto"/>
            <w:hideMark/>
          </w:tcPr>
          <w:p w14:paraId="7EC001E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Tipo di stazione appaltante e principale attività esercitata.</w:t>
            </w:r>
          </w:p>
        </w:tc>
      </w:tr>
      <w:tr w:rsidR="004C45EE" w:rsidRPr="004C45EE" w14:paraId="5657E3F7" w14:textId="77777777" w:rsidTr="004C45EE">
        <w:trPr>
          <w:trHeight w:val="510"/>
        </w:trPr>
        <w:tc>
          <w:tcPr>
            <w:tcW w:w="10180" w:type="dxa"/>
            <w:tcBorders>
              <w:top w:val="nil"/>
              <w:left w:val="nil"/>
              <w:bottom w:val="nil"/>
              <w:right w:val="nil"/>
            </w:tcBorders>
            <w:shd w:val="clear" w:color="auto" w:fill="auto"/>
            <w:hideMark/>
          </w:tcPr>
          <w:p w14:paraId="0A3CB77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lastRenderedPageBreak/>
              <w:t>4. Se del caso, l’indicazione che la stazione appaltante è una centrale di committenza o che si tratta o può trattarsi di una qualsiasi altra forma di appalto congiunto.</w:t>
            </w:r>
          </w:p>
        </w:tc>
      </w:tr>
      <w:tr w:rsidR="004C45EE" w:rsidRPr="004C45EE" w14:paraId="702A19BD" w14:textId="77777777" w:rsidTr="004C45EE">
        <w:trPr>
          <w:trHeight w:val="255"/>
        </w:trPr>
        <w:tc>
          <w:tcPr>
            <w:tcW w:w="10180" w:type="dxa"/>
            <w:tcBorders>
              <w:top w:val="nil"/>
              <w:left w:val="nil"/>
              <w:bottom w:val="nil"/>
              <w:right w:val="nil"/>
            </w:tcBorders>
            <w:shd w:val="clear" w:color="auto" w:fill="auto"/>
            <w:hideMark/>
          </w:tcPr>
          <w:p w14:paraId="04D1655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Codici CPV. Se l’appalto è suddiviso in lotti, tali informazioni sono fornite per ogni lotto.</w:t>
            </w:r>
          </w:p>
        </w:tc>
      </w:tr>
      <w:tr w:rsidR="004C45EE" w:rsidRPr="004C45EE" w14:paraId="67721FF2" w14:textId="77777777" w:rsidTr="004C45EE">
        <w:trPr>
          <w:trHeight w:val="765"/>
        </w:trPr>
        <w:tc>
          <w:tcPr>
            <w:tcW w:w="10180" w:type="dxa"/>
            <w:tcBorders>
              <w:top w:val="nil"/>
              <w:left w:val="nil"/>
              <w:bottom w:val="nil"/>
              <w:right w:val="nil"/>
            </w:tcBorders>
            <w:shd w:val="clear" w:color="auto" w:fill="auto"/>
            <w:hideMark/>
          </w:tcPr>
          <w:p w14:paraId="1A2A650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Il codice NUTS del luogo principale per l’esecuzione dei lavori nel caso di appalti di lavori o il codice NUTS del luogo principale di consegna o di prestazione per gli appalti di forniture e di servizi. Se l’appalto è suddiviso in lotti, tali informazioni sono fornite per ogni lotto.</w:t>
            </w:r>
          </w:p>
        </w:tc>
      </w:tr>
      <w:tr w:rsidR="004C45EE" w:rsidRPr="004C45EE" w14:paraId="623F6D1A" w14:textId="77777777" w:rsidTr="004C45EE">
        <w:trPr>
          <w:trHeight w:val="510"/>
        </w:trPr>
        <w:tc>
          <w:tcPr>
            <w:tcW w:w="10180" w:type="dxa"/>
            <w:tcBorders>
              <w:top w:val="nil"/>
              <w:left w:val="nil"/>
              <w:bottom w:val="nil"/>
              <w:right w:val="nil"/>
            </w:tcBorders>
            <w:shd w:val="clear" w:color="auto" w:fill="auto"/>
            <w:hideMark/>
          </w:tcPr>
          <w:p w14:paraId="20406A6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Breve descrizione dell’appalto: natura ed entità dei lavori, natura e quantità o valore delle forniture; natura ed entità dei servizi.</w:t>
            </w:r>
          </w:p>
        </w:tc>
      </w:tr>
      <w:tr w:rsidR="004C45EE" w:rsidRPr="004C45EE" w14:paraId="378D5187" w14:textId="77777777" w:rsidTr="004C45EE">
        <w:trPr>
          <w:trHeight w:val="510"/>
        </w:trPr>
        <w:tc>
          <w:tcPr>
            <w:tcW w:w="10180" w:type="dxa"/>
            <w:tcBorders>
              <w:top w:val="nil"/>
              <w:left w:val="nil"/>
              <w:bottom w:val="nil"/>
              <w:right w:val="nil"/>
            </w:tcBorders>
            <w:shd w:val="clear" w:color="auto" w:fill="auto"/>
            <w:hideMark/>
          </w:tcPr>
          <w:p w14:paraId="36495D4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Se l’avviso non funge da mezzo di indizione di una gara, data/date prevista/e per la pubblicazione di un bando di gara o di bandi di gara per l’appalto/gli appalti di cui all’avviso di pre-informazione.</w:t>
            </w:r>
          </w:p>
        </w:tc>
      </w:tr>
      <w:tr w:rsidR="004C45EE" w:rsidRPr="004C45EE" w14:paraId="3FB8FA9D" w14:textId="77777777" w:rsidTr="004C45EE">
        <w:trPr>
          <w:trHeight w:val="255"/>
        </w:trPr>
        <w:tc>
          <w:tcPr>
            <w:tcW w:w="10180" w:type="dxa"/>
            <w:tcBorders>
              <w:top w:val="nil"/>
              <w:left w:val="nil"/>
              <w:bottom w:val="nil"/>
              <w:right w:val="nil"/>
            </w:tcBorders>
            <w:shd w:val="clear" w:color="auto" w:fill="auto"/>
            <w:hideMark/>
          </w:tcPr>
          <w:p w14:paraId="437D79D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9. Data d’invio dell’avviso.</w:t>
            </w:r>
          </w:p>
        </w:tc>
      </w:tr>
      <w:tr w:rsidR="004C45EE" w:rsidRPr="004C45EE" w14:paraId="7979CF51" w14:textId="77777777" w:rsidTr="004C45EE">
        <w:trPr>
          <w:trHeight w:val="255"/>
        </w:trPr>
        <w:tc>
          <w:tcPr>
            <w:tcW w:w="10180" w:type="dxa"/>
            <w:tcBorders>
              <w:top w:val="nil"/>
              <w:left w:val="nil"/>
              <w:bottom w:val="nil"/>
              <w:right w:val="nil"/>
            </w:tcBorders>
            <w:shd w:val="clear" w:color="auto" w:fill="auto"/>
            <w:hideMark/>
          </w:tcPr>
          <w:p w14:paraId="36731F0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10. Altre eventuali informazioni.</w:t>
            </w:r>
          </w:p>
        </w:tc>
      </w:tr>
      <w:tr w:rsidR="004C45EE" w:rsidRPr="004C45EE" w14:paraId="6ACD343D" w14:textId="77777777" w:rsidTr="004C45EE">
        <w:trPr>
          <w:trHeight w:val="255"/>
        </w:trPr>
        <w:tc>
          <w:tcPr>
            <w:tcW w:w="10180" w:type="dxa"/>
            <w:tcBorders>
              <w:top w:val="nil"/>
              <w:left w:val="nil"/>
              <w:bottom w:val="nil"/>
              <w:right w:val="nil"/>
            </w:tcBorders>
            <w:shd w:val="clear" w:color="auto" w:fill="auto"/>
            <w:hideMark/>
          </w:tcPr>
          <w:p w14:paraId="511341B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11. Indicare se l’appalto rientra o meno nell’ambito di applicazione dell’AAP.</w:t>
            </w:r>
          </w:p>
        </w:tc>
      </w:tr>
      <w:tr w:rsidR="004C45EE" w:rsidRPr="004C45EE" w14:paraId="61C34C52" w14:textId="77777777" w:rsidTr="004C45EE">
        <w:trPr>
          <w:trHeight w:val="510"/>
        </w:trPr>
        <w:tc>
          <w:tcPr>
            <w:tcW w:w="10180" w:type="dxa"/>
            <w:tcBorders>
              <w:top w:val="nil"/>
              <w:left w:val="nil"/>
              <w:bottom w:val="nil"/>
              <w:right w:val="nil"/>
            </w:tcBorders>
            <w:shd w:val="clear" w:color="auto" w:fill="auto"/>
            <w:hideMark/>
          </w:tcPr>
          <w:p w14:paraId="5D5A06CA"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SEZIONE B.2 – Informazioni ulteriori che devono essere fornite se l'avviso funge da mezzo di indizione di gara (articolo 81, comma 2)</w:t>
            </w:r>
          </w:p>
        </w:tc>
      </w:tr>
      <w:tr w:rsidR="004C45EE" w:rsidRPr="004C45EE" w14:paraId="57694CF0" w14:textId="77777777" w:rsidTr="004C45EE">
        <w:trPr>
          <w:trHeight w:val="510"/>
        </w:trPr>
        <w:tc>
          <w:tcPr>
            <w:tcW w:w="10180" w:type="dxa"/>
            <w:tcBorders>
              <w:top w:val="nil"/>
              <w:left w:val="nil"/>
              <w:bottom w:val="nil"/>
              <w:right w:val="nil"/>
            </w:tcBorders>
            <w:shd w:val="clear" w:color="auto" w:fill="auto"/>
            <w:hideMark/>
          </w:tcPr>
          <w:p w14:paraId="1C53D6E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Indicazione del fatto che gli operatori economici interessati devono far conoscere alla amministrazione appaltante il loro interesse per l'appalto o gli appalti.</w:t>
            </w:r>
          </w:p>
        </w:tc>
      </w:tr>
      <w:tr w:rsidR="004C45EE" w:rsidRPr="004C45EE" w14:paraId="50EE30CE" w14:textId="77777777" w:rsidTr="004C45EE">
        <w:trPr>
          <w:trHeight w:val="510"/>
        </w:trPr>
        <w:tc>
          <w:tcPr>
            <w:tcW w:w="10180" w:type="dxa"/>
            <w:tcBorders>
              <w:top w:val="nil"/>
              <w:left w:val="nil"/>
              <w:bottom w:val="nil"/>
              <w:right w:val="nil"/>
            </w:tcBorders>
            <w:shd w:val="clear" w:color="auto" w:fill="auto"/>
            <w:hideMark/>
          </w:tcPr>
          <w:p w14:paraId="7DB9834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Tipo di procedura di aggiudicazione (procedure ristrette, che implichino o meno un sistema dinamico di acquisizione, o procedure competitive con negoziazione).</w:t>
            </w:r>
          </w:p>
        </w:tc>
      </w:tr>
      <w:tr w:rsidR="004C45EE" w:rsidRPr="004C45EE" w14:paraId="2C4AC0D5" w14:textId="77777777" w:rsidTr="004C45EE">
        <w:trPr>
          <w:trHeight w:val="255"/>
        </w:trPr>
        <w:tc>
          <w:tcPr>
            <w:tcW w:w="10180" w:type="dxa"/>
            <w:tcBorders>
              <w:top w:val="nil"/>
              <w:left w:val="nil"/>
              <w:bottom w:val="nil"/>
              <w:right w:val="nil"/>
            </w:tcBorders>
            <w:shd w:val="clear" w:color="auto" w:fill="auto"/>
            <w:hideMark/>
          </w:tcPr>
          <w:p w14:paraId="5CD32BF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Eventualmente, indicare se:</w:t>
            </w:r>
          </w:p>
        </w:tc>
      </w:tr>
      <w:tr w:rsidR="004C45EE" w:rsidRPr="004C45EE" w14:paraId="51C8F7E6" w14:textId="77777777" w:rsidTr="004C45EE">
        <w:trPr>
          <w:trHeight w:val="255"/>
        </w:trPr>
        <w:tc>
          <w:tcPr>
            <w:tcW w:w="10180" w:type="dxa"/>
            <w:tcBorders>
              <w:top w:val="nil"/>
              <w:left w:val="nil"/>
              <w:bottom w:val="nil"/>
              <w:right w:val="nil"/>
            </w:tcBorders>
            <w:shd w:val="clear" w:color="auto" w:fill="auto"/>
            <w:hideMark/>
          </w:tcPr>
          <w:p w14:paraId="4AD468E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si tratta di un accordo quadro;</w:t>
            </w:r>
          </w:p>
        </w:tc>
      </w:tr>
      <w:tr w:rsidR="004C45EE" w:rsidRPr="004C45EE" w14:paraId="62E1290C" w14:textId="77777777" w:rsidTr="004C45EE">
        <w:trPr>
          <w:trHeight w:val="255"/>
        </w:trPr>
        <w:tc>
          <w:tcPr>
            <w:tcW w:w="10180" w:type="dxa"/>
            <w:tcBorders>
              <w:top w:val="nil"/>
              <w:left w:val="nil"/>
              <w:bottom w:val="nil"/>
              <w:right w:val="nil"/>
            </w:tcBorders>
            <w:shd w:val="clear" w:color="auto" w:fill="auto"/>
            <w:hideMark/>
          </w:tcPr>
          <w:p w14:paraId="25DB232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si tratta di un sistema dinamico di acquisizione.</w:t>
            </w:r>
          </w:p>
        </w:tc>
      </w:tr>
      <w:tr w:rsidR="004C45EE" w:rsidRPr="004C45EE" w14:paraId="13019F38" w14:textId="77777777" w:rsidTr="004C45EE">
        <w:trPr>
          <w:trHeight w:val="255"/>
        </w:trPr>
        <w:tc>
          <w:tcPr>
            <w:tcW w:w="10180" w:type="dxa"/>
            <w:tcBorders>
              <w:top w:val="nil"/>
              <w:left w:val="nil"/>
              <w:bottom w:val="nil"/>
              <w:right w:val="nil"/>
            </w:tcBorders>
            <w:shd w:val="clear" w:color="auto" w:fill="auto"/>
            <w:hideMark/>
          </w:tcPr>
          <w:p w14:paraId="72F097E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Se conosciuti, tempi di consegna o di fornitura di prodotti, lavori o servizi e durata del contratto.</w:t>
            </w:r>
          </w:p>
        </w:tc>
      </w:tr>
      <w:tr w:rsidR="004C45EE" w:rsidRPr="004C45EE" w14:paraId="51560E11" w14:textId="77777777" w:rsidTr="004C45EE">
        <w:trPr>
          <w:trHeight w:val="255"/>
        </w:trPr>
        <w:tc>
          <w:tcPr>
            <w:tcW w:w="10180" w:type="dxa"/>
            <w:tcBorders>
              <w:top w:val="nil"/>
              <w:left w:val="nil"/>
              <w:bottom w:val="nil"/>
              <w:right w:val="nil"/>
            </w:tcBorders>
            <w:shd w:val="clear" w:color="auto" w:fill="auto"/>
            <w:hideMark/>
          </w:tcPr>
          <w:p w14:paraId="4045D05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Se note, le condizioni di partecipazione, compreso quanto segue:</w:t>
            </w:r>
          </w:p>
        </w:tc>
      </w:tr>
      <w:tr w:rsidR="004C45EE" w:rsidRPr="004C45EE" w14:paraId="0FD8B551" w14:textId="77777777" w:rsidTr="004C45EE">
        <w:trPr>
          <w:trHeight w:val="510"/>
        </w:trPr>
        <w:tc>
          <w:tcPr>
            <w:tcW w:w="10180" w:type="dxa"/>
            <w:tcBorders>
              <w:top w:val="nil"/>
              <w:left w:val="nil"/>
              <w:bottom w:val="nil"/>
              <w:right w:val="nil"/>
            </w:tcBorders>
            <w:shd w:val="clear" w:color="auto" w:fill="auto"/>
            <w:hideMark/>
          </w:tcPr>
          <w:p w14:paraId="6D667D1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l'indicazione, eventuale, se si tratta di un appalto pubblico riservato a laboratori protetti o la cui esecuzione è riservata all'ambito di programmi di lavoro protetti;</w:t>
            </w:r>
          </w:p>
        </w:tc>
      </w:tr>
      <w:tr w:rsidR="004C45EE" w:rsidRPr="004C45EE" w14:paraId="1F892A85" w14:textId="77777777" w:rsidTr="004C45EE">
        <w:trPr>
          <w:trHeight w:val="510"/>
        </w:trPr>
        <w:tc>
          <w:tcPr>
            <w:tcW w:w="10180" w:type="dxa"/>
            <w:tcBorders>
              <w:top w:val="nil"/>
              <w:left w:val="nil"/>
              <w:bottom w:val="nil"/>
              <w:right w:val="nil"/>
            </w:tcBorders>
            <w:shd w:val="clear" w:color="auto" w:fill="auto"/>
            <w:hideMark/>
          </w:tcPr>
          <w:p w14:paraId="07B0AA7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l'indicazione eventuale se, in forza di disposizioni legislative, regolamentari o amministrative, la prestazione del servizio sia riservata a una particolare professione;</w:t>
            </w:r>
          </w:p>
        </w:tc>
      </w:tr>
      <w:tr w:rsidR="004C45EE" w:rsidRPr="004C45EE" w14:paraId="2C9F5D66" w14:textId="77777777" w:rsidTr="004C45EE">
        <w:trPr>
          <w:trHeight w:val="255"/>
        </w:trPr>
        <w:tc>
          <w:tcPr>
            <w:tcW w:w="10180" w:type="dxa"/>
            <w:tcBorders>
              <w:top w:val="nil"/>
              <w:left w:val="nil"/>
              <w:bottom w:val="nil"/>
              <w:right w:val="nil"/>
            </w:tcBorders>
            <w:shd w:val="clear" w:color="auto" w:fill="auto"/>
            <w:hideMark/>
          </w:tcPr>
          <w:p w14:paraId="6C30F12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una breve descrizione dei criteri di selezione.</w:t>
            </w:r>
          </w:p>
        </w:tc>
      </w:tr>
      <w:tr w:rsidR="004C45EE" w:rsidRPr="004C45EE" w14:paraId="34790AA9" w14:textId="77777777" w:rsidTr="004C45EE">
        <w:trPr>
          <w:trHeight w:val="255"/>
        </w:trPr>
        <w:tc>
          <w:tcPr>
            <w:tcW w:w="10180" w:type="dxa"/>
            <w:tcBorders>
              <w:top w:val="nil"/>
              <w:left w:val="nil"/>
              <w:bottom w:val="nil"/>
              <w:right w:val="nil"/>
            </w:tcBorders>
            <w:shd w:val="clear" w:color="auto" w:fill="auto"/>
            <w:hideMark/>
          </w:tcPr>
          <w:p w14:paraId="78CEE6C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Se conosciuti, una breve descrizione dei criteri che verranno utilizzati per l'aggiudicazione dell'appalto.</w:t>
            </w:r>
          </w:p>
        </w:tc>
      </w:tr>
      <w:tr w:rsidR="004C45EE" w:rsidRPr="004C45EE" w14:paraId="24023107" w14:textId="77777777" w:rsidTr="004C45EE">
        <w:trPr>
          <w:trHeight w:val="510"/>
        </w:trPr>
        <w:tc>
          <w:tcPr>
            <w:tcW w:w="10180" w:type="dxa"/>
            <w:tcBorders>
              <w:top w:val="nil"/>
              <w:left w:val="nil"/>
              <w:bottom w:val="nil"/>
              <w:right w:val="nil"/>
            </w:tcBorders>
            <w:shd w:val="clear" w:color="auto" w:fill="auto"/>
            <w:hideMark/>
          </w:tcPr>
          <w:p w14:paraId="229AB44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Se nota, la grandezza complessiva stimata dell'appalto o degli appalti. Se l'appalto è suddiviso in lotti, tali informazioni sono fornite per ogni lotto.</w:t>
            </w:r>
          </w:p>
        </w:tc>
      </w:tr>
      <w:tr w:rsidR="004C45EE" w:rsidRPr="004C45EE" w14:paraId="703D5EC6" w14:textId="77777777" w:rsidTr="004C45EE">
        <w:trPr>
          <w:trHeight w:val="255"/>
        </w:trPr>
        <w:tc>
          <w:tcPr>
            <w:tcW w:w="10180" w:type="dxa"/>
            <w:tcBorders>
              <w:top w:val="nil"/>
              <w:left w:val="nil"/>
              <w:bottom w:val="nil"/>
              <w:right w:val="nil"/>
            </w:tcBorders>
            <w:shd w:val="clear" w:color="auto" w:fill="auto"/>
            <w:hideMark/>
          </w:tcPr>
          <w:p w14:paraId="031FA65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Termini ultimi per la ricezione delle manifestazioni d'interesse.</w:t>
            </w:r>
          </w:p>
        </w:tc>
      </w:tr>
      <w:tr w:rsidR="004C45EE" w:rsidRPr="004C45EE" w14:paraId="5DD7E03C" w14:textId="77777777" w:rsidTr="004C45EE">
        <w:trPr>
          <w:trHeight w:val="255"/>
        </w:trPr>
        <w:tc>
          <w:tcPr>
            <w:tcW w:w="10180" w:type="dxa"/>
            <w:tcBorders>
              <w:top w:val="nil"/>
              <w:left w:val="nil"/>
              <w:bottom w:val="nil"/>
              <w:right w:val="nil"/>
            </w:tcBorders>
            <w:shd w:val="clear" w:color="auto" w:fill="auto"/>
            <w:hideMark/>
          </w:tcPr>
          <w:p w14:paraId="7D69C5D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9. Piattaforma di approvvigionamento digitale ove è possibile compilare le manifestazioni di interesse.</w:t>
            </w:r>
          </w:p>
        </w:tc>
      </w:tr>
      <w:tr w:rsidR="004C45EE" w:rsidRPr="004C45EE" w14:paraId="60FF6150" w14:textId="77777777" w:rsidTr="004C45EE">
        <w:trPr>
          <w:trHeight w:val="255"/>
        </w:trPr>
        <w:tc>
          <w:tcPr>
            <w:tcW w:w="10180" w:type="dxa"/>
            <w:tcBorders>
              <w:top w:val="nil"/>
              <w:left w:val="nil"/>
              <w:bottom w:val="nil"/>
              <w:right w:val="nil"/>
            </w:tcBorders>
            <w:shd w:val="clear" w:color="auto" w:fill="auto"/>
            <w:hideMark/>
          </w:tcPr>
          <w:p w14:paraId="3DC245D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10. Lingua o lingue autorizzate per la presentazione delle candidature o delle offerte.</w:t>
            </w:r>
          </w:p>
        </w:tc>
      </w:tr>
      <w:tr w:rsidR="004C45EE" w:rsidRPr="004C45EE" w14:paraId="386C304F" w14:textId="77777777" w:rsidTr="004C45EE">
        <w:trPr>
          <w:trHeight w:val="255"/>
        </w:trPr>
        <w:tc>
          <w:tcPr>
            <w:tcW w:w="10180" w:type="dxa"/>
            <w:tcBorders>
              <w:top w:val="nil"/>
              <w:left w:val="nil"/>
              <w:bottom w:val="nil"/>
              <w:right w:val="nil"/>
            </w:tcBorders>
            <w:shd w:val="clear" w:color="auto" w:fill="auto"/>
            <w:hideMark/>
          </w:tcPr>
          <w:p w14:paraId="40452A1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11. Eventualmente, indicare se:</w:t>
            </w:r>
          </w:p>
        </w:tc>
      </w:tr>
      <w:tr w:rsidR="004C45EE" w:rsidRPr="004C45EE" w14:paraId="1AB4D322" w14:textId="77777777" w:rsidTr="004C45EE">
        <w:trPr>
          <w:trHeight w:val="255"/>
        </w:trPr>
        <w:tc>
          <w:tcPr>
            <w:tcW w:w="10180" w:type="dxa"/>
            <w:tcBorders>
              <w:top w:val="nil"/>
              <w:left w:val="nil"/>
              <w:bottom w:val="nil"/>
              <w:right w:val="nil"/>
            </w:tcBorders>
            <w:shd w:val="clear" w:color="auto" w:fill="auto"/>
            <w:hideMark/>
          </w:tcPr>
          <w:p w14:paraId="298627E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la presentazione per via elettronica delle offerte o delle domande di partecipazione è richiesta o accettata;</w:t>
            </w:r>
          </w:p>
        </w:tc>
      </w:tr>
      <w:tr w:rsidR="004C45EE" w:rsidRPr="004C45EE" w14:paraId="7C2C622A" w14:textId="77777777" w:rsidTr="004C45EE">
        <w:trPr>
          <w:trHeight w:val="255"/>
        </w:trPr>
        <w:tc>
          <w:tcPr>
            <w:tcW w:w="10180" w:type="dxa"/>
            <w:tcBorders>
              <w:top w:val="nil"/>
              <w:left w:val="nil"/>
              <w:bottom w:val="nil"/>
              <w:right w:val="nil"/>
            </w:tcBorders>
            <w:shd w:val="clear" w:color="auto" w:fill="auto"/>
            <w:hideMark/>
          </w:tcPr>
          <w:p w14:paraId="2614848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si farà ricorso all'ordinazione elettronica;</w:t>
            </w:r>
          </w:p>
        </w:tc>
      </w:tr>
      <w:tr w:rsidR="004C45EE" w:rsidRPr="004C45EE" w14:paraId="2D5F09AC" w14:textId="77777777" w:rsidTr="004C45EE">
        <w:trPr>
          <w:trHeight w:val="255"/>
        </w:trPr>
        <w:tc>
          <w:tcPr>
            <w:tcW w:w="10180" w:type="dxa"/>
            <w:tcBorders>
              <w:top w:val="nil"/>
              <w:left w:val="nil"/>
              <w:bottom w:val="nil"/>
              <w:right w:val="nil"/>
            </w:tcBorders>
            <w:shd w:val="clear" w:color="auto" w:fill="auto"/>
            <w:hideMark/>
          </w:tcPr>
          <w:p w14:paraId="4DBED78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si farà ricorso alla fatturazione elettronica;</w:t>
            </w:r>
          </w:p>
        </w:tc>
      </w:tr>
      <w:tr w:rsidR="004C45EE" w:rsidRPr="004C45EE" w14:paraId="2F420B15" w14:textId="77777777" w:rsidTr="004C45EE">
        <w:trPr>
          <w:trHeight w:val="255"/>
        </w:trPr>
        <w:tc>
          <w:tcPr>
            <w:tcW w:w="10180" w:type="dxa"/>
            <w:tcBorders>
              <w:top w:val="nil"/>
              <w:left w:val="nil"/>
              <w:bottom w:val="nil"/>
              <w:right w:val="nil"/>
            </w:tcBorders>
            <w:shd w:val="clear" w:color="auto" w:fill="auto"/>
            <w:hideMark/>
          </w:tcPr>
          <w:p w14:paraId="3202C4B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 sarà accettato il pagamento elettronico.</w:t>
            </w:r>
          </w:p>
        </w:tc>
      </w:tr>
      <w:tr w:rsidR="004C45EE" w:rsidRPr="004C45EE" w14:paraId="60214604" w14:textId="77777777" w:rsidTr="004C45EE">
        <w:trPr>
          <w:trHeight w:val="255"/>
        </w:trPr>
        <w:tc>
          <w:tcPr>
            <w:tcW w:w="10180" w:type="dxa"/>
            <w:tcBorders>
              <w:top w:val="nil"/>
              <w:left w:val="nil"/>
              <w:bottom w:val="nil"/>
              <w:right w:val="nil"/>
            </w:tcBorders>
            <w:shd w:val="clear" w:color="auto" w:fill="auto"/>
            <w:hideMark/>
          </w:tcPr>
          <w:p w14:paraId="13AFF39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12. Informazioni che indicano se l'appalto è connesso a un progetto o programma finanziato dai fondi dell'Unione europea.</w:t>
            </w:r>
          </w:p>
        </w:tc>
      </w:tr>
      <w:tr w:rsidR="004C45EE" w:rsidRPr="004C45EE" w14:paraId="3619868B" w14:textId="77777777" w:rsidTr="004C45EE">
        <w:trPr>
          <w:trHeight w:val="765"/>
        </w:trPr>
        <w:tc>
          <w:tcPr>
            <w:tcW w:w="10180" w:type="dxa"/>
            <w:tcBorders>
              <w:top w:val="nil"/>
              <w:left w:val="nil"/>
              <w:bottom w:val="nil"/>
              <w:right w:val="nil"/>
            </w:tcBorders>
            <w:shd w:val="clear" w:color="auto" w:fill="auto"/>
            <w:hideMark/>
          </w:tcPr>
          <w:p w14:paraId="7787F6F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13. Denominazione e indirizzo dell'organo responsabile delle procedure di ricorso e, se del caso, di mediazione. Precisazioni dei termini per la proposizione del ricorso o, se necessario, denominazione, indirizzo, numero di telefono, di fax e indirizzo elettronico del servizio presso il quale l'informazione in questione può essere richiesta.</w:t>
            </w:r>
          </w:p>
        </w:tc>
      </w:tr>
      <w:tr w:rsidR="004C45EE" w:rsidRPr="004C45EE" w14:paraId="41D1A489" w14:textId="77777777" w:rsidTr="004C45EE">
        <w:trPr>
          <w:trHeight w:val="255"/>
        </w:trPr>
        <w:tc>
          <w:tcPr>
            <w:tcW w:w="10180" w:type="dxa"/>
            <w:tcBorders>
              <w:top w:val="nil"/>
              <w:left w:val="nil"/>
              <w:bottom w:val="nil"/>
              <w:right w:val="nil"/>
            </w:tcBorders>
            <w:shd w:val="clear" w:color="auto" w:fill="auto"/>
            <w:hideMark/>
          </w:tcPr>
          <w:p w14:paraId="0C4B5A3E"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C – INFORMAZIONI CHE DEVONO FIGURARE NEGLI AVVISI E BANDI DI GARA (di cui all'articolo 83)</w:t>
            </w:r>
          </w:p>
        </w:tc>
      </w:tr>
      <w:tr w:rsidR="004C45EE" w:rsidRPr="004C45EE" w14:paraId="3A52739A" w14:textId="77777777" w:rsidTr="004C45EE">
        <w:trPr>
          <w:trHeight w:val="765"/>
        </w:trPr>
        <w:tc>
          <w:tcPr>
            <w:tcW w:w="10180" w:type="dxa"/>
            <w:tcBorders>
              <w:top w:val="nil"/>
              <w:left w:val="nil"/>
              <w:bottom w:val="nil"/>
              <w:right w:val="nil"/>
            </w:tcBorders>
            <w:shd w:val="clear" w:color="auto" w:fill="auto"/>
            <w:hideMark/>
          </w:tcPr>
          <w:p w14:paraId="22A1F57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indirizzo comprensivo di codice NUTS, telefono, fax, posta elettronica e indirizzo internet della amministrazione appaltante e, se diverso, del servizio al quale rivolgersi per informazioni complementari.</w:t>
            </w:r>
          </w:p>
        </w:tc>
      </w:tr>
      <w:tr w:rsidR="004C45EE" w:rsidRPr="004C45EE" w14:paraId="4434473E" w14:textId="77777777" w:rsidTr="004C45EE">
        <w:trPr>
          <w:trHeight w:val="765"/>
        </w:trPr>
        <w:tc>
          <w:tcPr>
            <w:tcW w:w="10180" w:type="dxa"/>
            <w:tcBorders>
              <w:top w:val="nil"/>
              <w:left w:val="nil"/>
              <w:bottom w:val="nil"/>
              <w:right w:val="nil"/>
            </w:tcBorders>
            <w:shd w:val="clear" w:color="auto" w:fill="auto"/>
            <w:hideMark/>
          </w:tcPr>
          <w:p w14:paraId="0829BC9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Collegamento ipertestuale al quale i documenti di gara saranno disponibili per l'accesso gratuito, illimitato e diretto. Se l'accesso gratuito, illimitato e diretto non è disponibile per i motivi illustrati all'articolo 88, comma 2, un'indicazione relativa alle modalità di accesso ai documenti di gara.</w:t>
            </w:r>
          </w:p>
        </w:tc>
      </w:tr>
      <w:tr w:rsidR="004C45EE" w:rsidRPr="004C45EE" w14:paraId="58E6609D" w14:textId="77777777" w:rsidTr="004C45EE">
        <w:trPr>
          <w:trHeight w:val="255"/>
        </w:trPr>
        <w:tc>
          <w:tcPr>
            <w:tcW w:w="10180" w:type="dxa"/>
            <w:tcBorders>
              <w:top w:val="nil"/>
              <w:left w:val="nil"/>
              <w:bottom w:val="nil"/>
              <w:right w:val="nil"/>
            </w:tcBorders>
            <w:shd w:val="clear" w:color="auto" w:fill="auto"/>
            <w:hideMark/>
          </w:tcPr>
          <w:p w14:paraId="249DE85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Tipo di amministrazione appaltante e principale attività esercitata.</w:t>
            </w:r>
          </w:p>
        </w:tc>
      </w:tr>
      <w:tr w:rsidR="004C45EE" w:rsidRPr="004C45EE" w14:paraId="5FE51D5B" w14:textId="77777777" w:rsidTr="004C45EE">
        <w:trPr>
          <w:trHeight w:val="510"/>
        </w:trPr>
        <w:tc>
          <w:tcPr>
            <w:tcW w:w="10180" w:type="dxa"/>
            <w:tcBorders>
              <w:top w:val="nil"/>
              <w:left w:val="nil"/>
              <w:bottom w:val="nil"/>
              <w:right w:val="nil"/>
            </w:tcBorders>
            <w:shd w:val="clear" w:color="auto" w:fill="auto"/>
            <w:hideMark/>
          </w:tcPr>
          <w:p w14:paraId="1915442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Se del caso, l'indicazione che la stazione appaltante è una centrale di committenza o che è coinvolta una qualsiasi altra forma di appalto congiunto.</w:t>
            </w:r>
          </w:p>
        </w:tc>
      </w:tr>
      <w:tr w:rsidR="004C45EE" w:rsidRPr="004C45EE" w14:paraId="780448E5" w14:textId="77777777" w:rsidTr="004C45EE">
        <w:trPr>
          <w:trHeight w:val="255"/>
        </w:trPr>
        <w:tc>
          <w:tcPr>
            <w:tcW w:w="10180" w:type="dxa"/>
            <w:tcBorders>
              <w:top w:val="nil"/>
              <w:left w:val="nil"/>
              <w:bottom w:val="nil"/>
              <w:right w:val="nil"/>
            </w:tcBorders>
            <w:shd w:val="clear" w:color="auto" w:fill="auto"/>
            <w:hideMark/>
          </w:tcPr>
          <w:p w14:paraId="73A40FE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Codici CPV. Se l'appalto è suddiviso in lotti, tali informazioni sono fornite per ogni lotto.</w:t>
            </w:r>
          </w:p>
        </w:tc>
      </w:tr>
      <w:tr w:rsidR="004C45EE" w:rsidRPr="004C45EE" w14:paraId="1B810457" w14:textId="77777777" w:rsidTr="004C45EE">
        <w:trPr>
          <w:trHeight w:val="510"/>
        </w:trPr>
        <w:tc>
          <w:tcPr>
            <w:tcW w:w="10180" w:type="dxa"/>
            <w:tcBorders>
              <w:top w:val="nil"/>
              <w:left w:val="nil"/>
              <w:bottom w:val="nil"/>
              <w:right w:val="nil"/>
            </w:tcBorders>
            <w:shd w:val="clear" w:color="auto" w:fill="auto"/>
            <w:hideMark/>
          </w:tcPr>
          <w:p w14:paraId="576D69C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lastRenderedPageBreak/>
              <w:t>6. Il codice NUTS del luogo principale per l'esecuzione dei lavori nel caso di appalti di lavori o il codice NUTS del luogo principale di consegna o di prestazione</w:t>
            </w:r>
          </w:p>
        </w:tc>
      </w:tr>
      <w:tr w:rsidR="004C45EE" w:rsidRPr="004C45EE" w14:paraId="1CABC24A" w14:textId="77777777" w:rsidTr="004C45EE">
        <w:trPr>
          <w:trHeight w:val="255"/>
        </w:trPr>
        <w:tc>
          <w:tcPr>
            <w:tcW w:w="10180" w:type="dxa"/>
            <w:tcBorders>
              <w:top w:val="nil"/>
              <w:left w:val="nil"/>
              <w:bottom w:val="nil"/>
              <w:right w:val="nil"/>
            </w:tcBorders>
            <w:shd w:val="clear" w:color="auto" w:fill="auto"/>
            <w:hideMark/>
          </w:tcPr>
          <w:p w14:paraId="3F9044C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per gli appalti di forniture e di servizi. Se l'appalto è suddiviso in lotti, tali informazioni sono fornite per ogni lotto.</w:t>
            </w:r>
          </w:p>
        </w:tc>
      </w:tr>
      <w:tr w:rsidR="004C45EE" w:rsidRPr="004C45EE" w14:paraId="0E0BFE57" w14:textId="77777777" w:rsidTr="004C45EE">
        <w:trPr>
          <w:trHeight w:val="765"/>
        </w:trPr>
        <w:tc>
          <w:tcPr>
            <w:tcW w:w="10180" w:type="dxa"/>
            <w:tcBorders>
              <w:top w:val="nil"/>
              <w:left w:val="nil"/>
              <w:bottom w:val="nil"/>
              <w:right w:val="nil"/>
            </w:tcBorders>
            <w:shd w:val="clear" w:color="auto" w:fill="auto"/>
            <w:hideMark/>
          </w:tcPr>
          <w:p w14:paraId="0449609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Descrizione dell'appalto: natura ed entità dei lavori, natura e quantità o valore delle forniture; natura ed entità dei servizi. Se l'appalto è suddiviso in lotti, tali informazioni sono fornite per ogni lotto. Eventualmente, una descrizione di qualsiasi opzione.</w:t>
            </w:r>
          </w:p>
        </w:tc>
      </w:tr>
      <w:tr w:rsidR="004C45EE" w:rsidRPr="004C45EE" w14:paraId="2C398DD7" w14:textId="77777777" w:rsidTr="004C45EE">
        <w:trPr>
          <w:trHeight w:val="510"/>
        </w:trPr>
        <w:tc>
          <w:tcPr>
            <w:tcW w:w="10180" w:type="dxa"/>
            <w:tcBorders>
              <w:top w:val="nil"/>
              <w:left w:val="nil"/>
              <w:bottom w:val="nil"/>
              <w:right w:val="nil"/>
            </w:tcBorders>
            <w:shd w:val="clear" w:color="auto" w:fill="auto"/>
            <w:hideMark/>
          </w:tcPr>
          <w:p w14:paraId="7D2915E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Ordine di grandezza totale stimato dell'appalto o degli appalti; se l'appalto è suddiviso in lotti, tali informazioni sono fornite per ogni lotto.</w:t>
            </w:r>
          </w:p>
        </w:tc>
      </w:tr>
      <w:tr w:rsidR="004C45EE" w:rsidRPr="004C45EE" w14:paraId="148735C7" w14:textId="77777777" w:rsidTr="004C45EE">
        <w:trPr>
          <w:trHeight w:val="255"/>
        </w:trPr>
        <w:tc>
          <w:tcPr>
            <w:tcW w:w="10180" w:type="dxa"/>
            <w:tcBorders>
              <w:top w:val="nil"/>
              <w:left w:val="nil"/>
              <w:bottom w:val="nil"/>
              <w:right w:val="nil"/>
            </w:tcBorders>
            <w:shd w:val="clear" w:color="auto" w:fill="auto"/>
            <w:hideMark/>
          </w:tcPr>
          <w:p w14:paraId="37034BF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9. Ammissione o divieto di varianti.</w:t>
            </w:r>
          </w:p>
        </w:tc>
      </w:tr>
      <w:tr w:rsidR="004C45EE" w:rsidRPr="004C45EE" w14:paraId="476D252A" w14:textId="77777777" w:rsidTr="004C45EE">
        <w:trPr>
          <w:trHeight w:val="255"/>
        </w:trPr>
        <w:tc>
          <w:tcPr>
            <w:tcW w:w="10180" w:type="dxa"/>
            <w:tcBorders>
              <w:top w:val="nil"/>
              <w:left w:val="nil"/>
              <w:bottom w:val="nil"/>
              <w:right w:val="nil"/>
            </w:tcBorders>
            <w:shd w:val="clear" w:color="auto" w:fill="auto"/>
            <w:hideMark/>
          </w:tcPr>
          <w:p w14:paraId="2226D95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10. Tempi di consegna o di fornitura di beni, lavori o servizi e, per quanto possibile, la durata del contratto.</w:t>
            </w:r>
          </w:p>
        </w:tc>
      </w:tr>
      <w:tr w:rsidR="004C45EE" w:rsidRPr="004C45EE" w14:paraId="0E85B7BD" w14:textId="77777777" w:rsidTr="004C45EE">
        <w:trPr>
          <w:trHeight w:val="1020"/>
        </w:trPr>
        <w:tc>
          <w:tcPr>
            <w:tcW w:w="10180" w:type="dxa"/>
            <w:tcBorders>
              <w:top w:val="nil"/>
              <w:left w:val="nil"/>
              <w:bottom w:val="nil"/>
              <w:right w:val="nil"/>
            </w:tcBorders>
            <w:shd w:val="clear" w:color="auto" w:fill="auto"/>
            <w:hideMark/>
          </w:tcPr>
          <w:p w14:paraId="4137A36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Nel caso di accordi quadro, indicare la durata prevista dell'accordo quadro, precisando, se del caso, i motivi che giustificano una durata dell'accordo quadro superiore a quattro anni; per quanto possibile, indicazione del valore o dell'ordine di grandezza e della frequenza degli appalti da aggiudicare, numero e, ove necessario, numero massimo previsto di operatori economici che parteciperanno.</w:t>
            </w:r>
          </w:p>
        </w:tc>
      </w:tr>
      <w:tr w:rsidR="004C45EE" w:rsidRPr="004C45EE" w14:paraId="3731762F" w14:textId="77777777" w:rsidTr="004C45EE">
        <w:trPr>
          <w:trHeight w:val="510"/>
        </w:trPr>
        <w:tc>
          <w:tcPr>
            <w:tcW w:w="10180" w:type="dxa"/>
            <w:tcBorders>
              <w:top w:val="nil"/>
              <w:left w:val="nil"/>
              <w:bottom w:val="nil"/>
              <w:right w:val="nil"/>
            </w:tcBorders>
            <w:shd w:val="clear" w:color="auto" w:fill="auto"/>
            <w:hideMark/>
          </w:tcPr>
          <w:p w14:paraId="3AE67C0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Nel caso di un sistema dinamico di acquisizione l'indicazione della durata prevista di tale sistema; per quanto possibile, l'indicazione di valore o dell'ordine di grandezza e della frequenza degli appalti da aggiudicare.</w:t>
            </w:r>
          </w:p>
        </w:tc>
      </w:tr>
      <w:tr w:rsidR="004C45EE" w:rsidRPr="004C45EE" w14:paraId="4524CB7F" w14:textId="77777777" w:rsidTr="004C45EE">
        <w:trPr>
          <w:trHeight w:val="255"/>
        </w:trPr>
        <w:tc>
          <w:tcPr>
            <w:tcW w:w="10180" w:type="dxa"/>
            <w:tcBorders>
              <w:top w:val="nil"/>
              <w:left w:val="nil"/>
              <w:bottom w:val="nil"/>
              <w:right w:val="nil"/>
            </w:tcBorders>
            <w:shd w:val="clear" w:color="auto" w:fill="auto"/>
            <w:hideMark/>
          </w:tcPr>
          <w:p w14:paraId="7F8FA7C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11. Condizioni di partecipazione, compreso quanto segue:</w:t>
            </w:r>
          </w:p>
        </w:tc>
      </w:tr>
      <w:tr w:rsidR="004C45EE" w:rsidRPr="004C45EE" w14:paraId="193770C6" w14:textId="77777777" w:rsidTr="004C45EE">
        <w:trPr>
          <w:trHeight w:val="510"/>
        </w:trPr>
        <w:tc>
          <w:tcPr>
            <w:tcW w:w="10180" w:type="dxa"/>
            <w:tcBorders>
              <w:top w:val="nil"/>
              <w:left w:val="nil"/>
              <w:bottom w:val="nil"/>
              <w:right w:val="nil"/>
            </w:tcBorders>
            <w:shd w:val="clear" w:color="auto" w:fill="auto"/>
            <w:hideMark/>
          </w:tcPr>
          <w:p w14:paraId="2F9F9C2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l'indicazione, eventuale, se si tratta di un appalto pubblico riservato a laboratori protetti o la cui esecuzione è riservata all'ambito di programmi di lavoro protetti;</w:t>
            </w:r>
          </w:p>
        </w:tc>
      </w:tr>
      <w:tr w:rsidR="004C45EE" w:rsidRPr="004C45EE" w14:paraId="0D08A382" w14:textId="77777777" w:rsidTr="004C45EE">
        <w:trPr>
          <w:trHeight w:val="765"/>
        </w:trPr>
        <w:tc>
          <w:tcPr>
            <w:tcW w:w="10180" w:type="dxa"/>
            <w:tcBorders>
              <w:top w:val="nil"/>
              <w:left w:val="nil"/>
              <w:bottom w:val="nil"/>
              <w:right w:val="nil"/>
            </w:tcBorders>
            <w:shd w:val="clear" w:color="auto" w:fill="auto"/>
            <w:hideMark/>
          </w:tcPr>
          <w:p w14:paraId="7EEE0A2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indicare, in caso se, in forza di disposizioni legislative, regolamentari o amministrative, la prestazione del servizio sia riservata a una particolare professione; riferimenti alle disposizioni legislative, regolamentari o amministrative in questione;</w:t>
            </w:r>
          </w:p>
        </w:tc>
      </w:tr>
      <w:tr w:rsidR="004C45EE" w:rsidRPr="004C45EE" w14:paraId="78B6DA6F" w14:textId="77777777" w:rsidTr="004C45EE">
        <w:trPr>
          <w:trHeight w:val="765"/>
        </w:trPr>
        <w:tc>
          <w:tcPr>
            <w:tcW w:w="10180" w:type="dxa"/>
            <w:tcBorders>
              <w:top w:val="nil"/>
              <w:left w:val="nil"/>
              <w:bottom w:val="nil"/>
              <w:right w:val="nil"/>
            </w:tcBorders>
            <w:shd w:val="clear" w:color="auto" w:fill="auto"/>
            <w:hideMark/>
          </w:tcPr>
          <w:p w14:paraId="1F75793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un elenco e una breve descrizione dei criteri riguardanti la situazione personale degli operatori economici che possono comportarne l'esclusione e dei criteri di selezione; livello o livelli minimi specifici di capacità eventualmente richiesti. Indicazione delle informazioni richieste (autocertificazioni, documentazione).</w:t>
            </w:r>
          </w:p>
        </w:tc>
      </w:tr>
      <w:tr w:rsidR="004C45EE" w:rsidRPr="004C45EE" w14:paraId="47CA4CE9" w14:textId="77777777" w:rsidTr="004C45EE">
        <w:trPr>
          <w:trHeight w:val="510"/>
        </w:trPr>
        <w:tc>
          <w:tcPr>
            <w:tcW w:w="10180" w:type="dxa"/>
            <w:tcBorders>
              <w:top w:val="nil"/>
              <w:left w:val="nil"/>
              <w:bottom w:val="nil"/>
              <w:right w:val="nil"/>
            </w:tcBorders>
            <w:shd w:val="clear" w:color="auto" w:fill="auto"/>
            <w:hideMark/>
          </w:tcPr>
          <w:p w14:paraId="19E6D6C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12. Tipo di procedura di aggiudicazione; eventualmente, motivazione del ricorso alla procedura accelerata (in caso di procedure aperte e ristrette e di procedure competitive con negoziazione).</w:t>
            </w:r>
          </w:p>
        </w:tc>
      </w:tr>
      <w:tr w:rsidR="004C45EE" w:rsidRPr="004C45EE" w14:paraId="7E35AA35" w14:textId="77777777" w:rsidTr="004C45EE">
        <w:trPr>
          <w:trHeight w:val="255"/>
        </w:trPr>
        <w:tc>
          <w:tcPr>
            <w:tcW w:w="10180" w:type="dxa"/>
            <w:tcBorders>
              <w:top w:val="nil"/>
              <w:left w:val="nil"/>
              <w:bottom w:val="nil"/>
              <w:right w:val="nil"/>
            </w:tcBorders>
            <w:shd w:val="clear" w:color="auto" w:fill="auto"/>
            <w:hideMark/>
          </w:tcPr>
          <w:p w14:paraId="36F55E7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13. Eventualmente, indicare se:</w:t>
            </w:r>
          </w:p>
        </w:tc>
      </w:tr>
      <w:tr w:rsidR="004C45EE" w:rsidRPr="004C45EE" w14:paraId="198088B3" w14:textId="77777777" w:rsidTr="004C45EE">
        <w:trPr>
          <w:trHeight w:val="255"/>
        </w:trPr>
        <w:tc>
          <w:tcPr>
            <w:tcW w:w="10180" w:type="dxa"/>
            <w:tcBorders>
              <w:top w:val="nil"/>
              <w:left w:val="nil"/>
              <w:bottom w:val="nil"/>
              <w:right w:val="nil"/>
            </w:tcBorders>
            <w:shd w:val="clear" w:color="auto" w:fill="auto"/>
            <w:hideMark/>
          </w:tcPr>
          <w:p w14:paraId="6BCFAF2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si tratta di un accordo quadro;</w:t>
            </w:r>
          </w:p>
        </w:tc>
      </w:tr>
      <w:tr w:rsidR="004C45EE" w:rsidRPr="004C45EE" w14:paraId="3B6FFCFB" w14:textId="77777777" w:rsidTr="004C45EE">
        <w:trPr>
          <w:trHeight w:val="255"/>
        </w:trPr>
        <w:tc>
          <w:tcPr>
            <w:tcW w:w="10180" w:type="dxa"/>
            <w:tcBorders>
              <w:top w:val="nil"/>
              <w:left w:val="nil"/>
              <w:bottom w:val="nil"/>
              <w:right w:val="nil"/>
            </w:tcBorders>
            <w:shd w:val="clear" w:color="auto" w:fill="auto"/>
            <w:hideMark/>
          </w:tcPr>
          <w:p w14:paraId="730900C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si tratta di un sistema dinamico di acquisizione;</w:t>
            </w:r>
          </w:p>
        </w:tc>
      </w:tr>
      <w:tr w:rsidR="004C45EE" w:rsidRPr="004C45EE" w14:paraId="54C3DD56" w14:textId="77777777" w:rsidTr="004C45EE">
        <w:trPr>
          <w:trHeight w:val="255"/>
        </w:trPr>
        <w:tc>
          <w:tcPr>
            <w:tcW w:w="10180" w:type="dxa"/>
            <w:tcBorders>
              <w:top w:val="nil"/>
              <w:left w:val="nil"/>
              <w:bottom w:val="nil"/>
              <w:right w:val="nil"/>
            </w:tcBorders>
            <w:shd w:val="clear" w:color="auto" w:fill="auto"/>
            <w:hideMark/>
          </w:tcPr>
          <w:p w14:paraId="5248FAA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si tratta di un'asta elettronica (in caso di procedure aperte o ristrette o di procedure competitive con negoziazione).</w:t>
            </w:r>
          </w:p>
        </w:tc>
      </w:tr>
      <w:tr w:rsidR="004C45EE" w:rsidRPr="004C45EE" w14:paraId="5085E402" w14:textId="77777777" w:rsidTr="004C45EE">
        <w:trPr>
          <w:trHeight w:val="510"/>
        </w:trPr>
        <w:tc>
          <w:tcPr>
            <w:tcW w:w="10180" w:type="dxa"/>
            <w:tcBorders>
              <w:top w:val="nil"/>
              <w:left w:val="nil"/>
              <w:bottom w:val="nil"/>
              <w:right w:val="nil"/>
            </w:tcBorders>
            <w:shd w:val="clear" w:color="auto" w:fill="auto"/>
            <w:hideMark/>
          </w:tcPr>
          <w:p w14:paraId="790F06D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14. Se l'appalto deve essere suddiviso in lotti, indicazione della possibilità per gli operatori economici di presentare offerte per uno, per più lotti o per l'insieme dei</w:t>
            </w:r>
          </w:p>
        </w:tc>
      </w:tr>
      <w:tr w:rsidR="004C45EE" w:rsidRPr="004C45EE" w14:paraId="1082E40B" w14:textId="77777777" w:rsidTr="004C45EE">
        <w:trPr>
          <w:trHeight w:val="510"/>
        </w:trPr>
        <w:tc>
          <w:tcPr>
            <w:tcW w:w="10180" w:type="dxa"/>
            <w:tcBorders>
              <w:top w:val="nil"/>
              <w:left w:val="nil"/>
              <w:bottom w:val="nil"/>
              <w:right w:val="nil"/>
            </w:tcBorders>
            <w:shd w:val="clear" w:color="auto" w:fill="auto"/>
            <w:hideMark/>
          </w:tcPr>
          <w:p w14:paraId="3B88F74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lotti. Indicazione di ogni possibile limitazione del numero di lotti che può essere aggiudicato a uno stesso offerente. Se l'appalto non è suddiviso in lotti, indicazione dei motivi, a meno che tale informazione non sia fornita nella relazione unica.</w:t>
            </w:r>
          </w:p>
        </w:tc>
      </w:tr>
      <w:tr w:rsidR="004C45EE" w:rsidRPr="004C45EE" w14:paraId="44009F83" w14:textId="77777777" w:rsidTr="004C45EE">
        <w:trPr>
          <w:trHeight w:val="1020"/>
        </w:trPr>
        <w:tc>
          <w:tcPr>
            <w:tcW w:w="10180" w:type="dxa"/>
            <w:tcBorders>
              <w:top w:val="nil"/>
              <w:left w:val="nil"/>
              <w:bottom w:val="nil"/>
              <w:right w:val="nil"/>
            </w:tcBorders>
            <w:shd w:val="clear" w:color="auto" w:fill="auto"/>
            <w:hideMark/>
          </w:tcPr>
          <w:p w14:paraId="0873228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15. In caso di procedura ristretta, procedura competitiva con negoziazione, dialogo competitivo o partenariato per l'innovazione, quando ci si avvale della facoltà di ridurre il numero di candidati che saranno invitati a presentare offerte, a partecipare al dialogo o a negoziare: numero minimo e, eventualmente, numero massimo previsto di candidati e criteri oggettivi da applicare per la scelta dei candidati in questione.</w:t>
            </w:r>
          </w:p>
        </w:tc>
      </w:tr>
      <w:tr w:rsidR="004C45EE" w:rsidRPr="004C45EE" w14:paraId="4128E95C" w14:textId="77777777" w:rsidTr="004C45EE">
        <w:trPr>
          <w:trHeight w:val="765"/>
        </w:trPr>
        <w:tc>
          <w:tcPr>
            <w:tcW w:w="10180" w:type="dxa"/>
            <w:tcBorders>
              <w:top w:val="nil"/>
              <w:left w:val="nil"/>
              <w:bottom w:val="nil"/>
              <w:right w:val="nil"/>
            </w:tcBorders>
            <w:shd w:val="clear" w:color="auto" w:fill="auto"/>
            <w:hideMark/>
          </w:tcPr>
          <w:p w14:paraId="66F431D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16. In caso di procedura competitiva con negoziazione, dialogo competitivo o partenariato per l'innovazione, indicare, eventualmente, il ricorso a una procedura che si svolge in più fasi successive, al fine di ridurre gradualmente il numero di soluzioni da discutere o di offerte da negoziare.</w:t>
            </w:r>
          </w:p>
        </w:tc>
      </w:tr>
      <w:tr w:rsidR="004C45EE" w:rsidRPr="004C45EE" w14:paraId="1C4DC1B0" w14:textId="77777777" w:rsidTr="004C45EE">
        <w:trPr>
          <w:trHeight w:val="255"/>
        </w:trPr>
        <w:tc>
          <w:tcPr>
            <w:tcW w:w="10180" w:type="dxa"/>
            <w:tcBorders>
              <w:top w:val="nil"/>
              <w:left w:val="nil"/>
              <w:bottom w:val="nil"/>
              <w:right w:val="nil"/>
            </w:tcBorders>
            <w:shd w:val="clear" w:color="auto" w:fill="auto"/>
            <w:hideMark/>
          </w:tcPr>
          <w:p w14:paraId="598D499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17. Eventualmente, le condizioni particolari cui è sottoposta l'esecuzione dell'appalto.</w:t>
            </w:r>
          </w:p>
        </w:tc>
      </w:tr>
      <w:tr w:rsidR="004C45EE" w:rsidRPr="004C45EE" w14:paraId="64FAA08E" w14:textId="77777777" w:rsidTr="004C45EE">
        <w:trPr>
          <w:trHeight w:val="1020"/>
        </w:trPr>
        <w:tc>
          <w:tcPr>
            <w:tcW w:w="10180" w:type="dxa"/>
            <w:tcBorders>
              <w:top w:val="nil"/>
              <w:left w:val="nil"/>
              <w:bottom w:val="nil"/>
              <w:right w:val="nil"/>
            </w:tcBorders>
            <w:shd w:val="clear" w:color="auto" w:fill="auto"/>
            <w:hideMark/>
          </w:tcPr>
          <w:p w14:paraId="6E0C328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18. Criteri di aggiudicazione dell'appalto o degli appalti. Salvo nel caso in cui l'offerta economicamente più vantaggiosa è individuata sulla base del solo prezzo, i criteri che determinano l'offerta economicamente più vantaggiosa e la loro ponderazione vanno indicati qualora non figurino nel capitolato d'oneri ovvero, nel caso del dialogo competitivo, nel documento descrittivo.</w:t>
            </w:r>
          </w:p>
        </w:tc>
      </w:tr>
      <w:tr w:rsidR="004C45EE" w:rsidRPr="004C45EE" w14:paraId="3DF98317" w14:textId="77777777" w:rsidTr="004C45EE">
        <w:trPr>
          <w:trHeight w:val="765"/>
        </w:trPr>
        <w:tc>
          <w:tcPr>
            <w:tcW w:w="10180" w:type="dxa"/>
            <w:tcBorders>
              <w:top w:val="nil"/>
              <w:left w:val="nil"/>
              <w:bottom w:val="nil"/>
              <w:right w:val="nil"/>
            </w:tcBorders>
            <w:shd w:val="clear" w:color="auto" w:fill="auto"/>
            <w:hideMark/>
          </w:tcPr>
          <w:p w14:paraId="7DEE672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19. Termine ultimo per la compilazione delle offerte (procedure aperte) o delle domande di partecipazione (procedure ristrette e procedura competitiva con negoziazione, sistemi dinamici di acquisizione, dialogo competitivo, partenariati per l'innovazione).</w:t>
            </w:r>
          </w:p>
        </w:tc>
      </w:tr>
      <w:tr w:rsidR="004C45EE" w:rsidRPr="004C45EE" w14:paraId="760C50A9" w14:textId="77777777" w:rsidTr="004C45EE">
        <w:trPr>
          <w:trHeight w:val="255"/>
        </w:trPr>
        <w:tc>
          <w:tcPr>
            <w:tcW w:w="10180" w:type="dxa"/>
            <w:tcBorders>
              <w:top w:val="nil"/>
              <w:left w:val="nil"/>
              <w:bottom w:val="nil"/>
              <w:right w:val="nil"/>
            </w:tcBorders>
            <w:shd w:val="clear" w:color="auto" w:fill="auto"/>
            <w:hideMark/>
          </w:tcPr>
          <w:p w14:paraId="2826DD80" w14:textId="77777777" w:rsidR="004C45EE" w:rsidRPr="004C45EE" w:rsidRDefault="004C45EE" w:rsidP="004C45EE">
            <w:pPr>
              <w:shd w:val="clear" w:color="auto" w:fill="F2F2F2" w:themeFill="background1" w:themeFillShade="F2"/>
              <w:rPr>
                <w:rFonts w:eastAsia="Times New Roman"/>
                <w:color w:val="000000"/>
                <w:kern w:val="0"/>
                <w:sz w:val="20"/>
                <w:szCs w:val="20"/>
                <w:lang w:eastAsia="it-IT"/>
              </w:rPr>
            </w:pPr>
            <w:r w:rsidRPr="004C45EE">
              <w:rPr>
                <w:rFonts w:eastAsia="Times New Roman"/>
                <w:kern w:val="0"/>
                <w:sz w:val="20"/>
                <w:szCs w:val="20"/>
                <w:lang w:eastAsia="it-IT"/>
              </w:rPr>
              <w:t>20. Piattaforma digitale ove è possibile inserire le offerte o le domande di partecipazione</w:t>
            </w:r>
            <w:r w:rsidRPr="004C45EE">
              <w:rPr>
                <w:rFonts w:eastAsia="Times New Roman"/>
                <w:b/>
                <w:bCs/>
                <w:kern w:val="0"/>
                <w:sz w:val="20"/>
                <w:szCs w:val="20"/>
                <w:lang w:eastAsia="it-IT"/>
              </w:rPr>
              <w:t>.</w:t>
            </w:r>
          </w:p>
        </w:tc>
      </w:tr>
      <w:tr w:rsidR="004C45EE" w:rsidRPr="004C45EE" w14:paraId="1FFCEC3E" w14:textId="77777777" w:rsidTr="004C45EE">
        <w:trPr>
          <w:trHeight w:val="255"/>
        </w:trPr>
        <w:tc>
          <w:tcPr>
            <w:tcW w:w="10180" w:type="dxa"/>
            <w:tcBorders>
              <w:top w:val="nil"/>
              <w:left w:val="nil"/>
              <w:bottom w:val="nil"/>
              <w:right w:val="nil"/>
            </w:tcBorders>
            <w:shd w:val="clear" w:color="auto" w:fill="auto"/>
            <w:hideMark/>
          </w:tcPr>
          <w:p w14:paraId="517F697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21. In caso di procedure aperte:</w:t>
            </w:r>
          </w:p>
        </w:tc>
      </w:tr>
      <w:tr w:rsidR="004C45EE" w:rsidRPr="004C45EE" w14:paraId="261B8F4C" w14:textId="77777777" w:rsidTr="004C45EE">
        <w:trPr>
          <w:trHeight w:val="255"/>
        </w:trPr>
        <w:tc>
          <w:tcPr>
            <w:tcW w:w="10180" w:type="dxa"/>
            <w:tcBorders>
              <w:top w:val="nil"/>
              <w:left w:val="nil"/>
              <w:bottom w:val="nil"/>
              <w:right w:val="nil"/>
            </w:tcBorders>
            <w:shd w:val="clear" w:color="auto" w:fill="auto"/>
            <w:hideMark/>
          </w:tcPr>
          <w:p w14:paraId="44FFD85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periodo di tempo durante il quale l'offerente è vincolato alla propria offerta;</w:t>
            </w:r>
          </w:p>
        </w:tc>
      </w:tr>
      <w:tr w:rsidR="004C45EE" w:rsidRPr="004C45EE" w14:paraId="7E36BFB8" w14:textId="77777777" w:rsidTr="004C45EE">
        <w:trPr>
          <w:trHeight w:val="255"/>
        </w:trPr>
        <w:tc>
          <w:tcPr>
            <w:tcW w:w="10180" w:type="dxa"/>
            <w:tcBorders>
              <w:top w:val="nil"/>
              <w:left w:val="nil"/>
              <w:bottom w:val="nil"/>
              <w:right w:val="nil"/>
            </w:tcBorders>
            <w:shd w:val="clear" w:color="auto" w:fill="auto"/>
            <w:hideMark/>
          </w:tcPr>
          <w:p w14:paraId="0A551C9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data, ora e luogo di apertura delle offerte;</w:t>
            </w:r>
          </w:p>
        </w:tc>
      </w:tr>
      <w:tr w:rsidR="004C45EE" w:rsidRPr="004C45EE" w14:paraId="007B001E" w14:textId="77777777" w:rsidTr="004C45EE">
        <w:trPr>
          <w:trHeight w:val="255"/>
        </w:trPr>
        <w:tc>
          <w:tcPr>
            <w:tcW w:w="10180" w:type="dxa"/>
            <w:tcBorders>
              <w:top w:val="nil"/>
              <w:left w:val="nil"/>
              <w:bottom w:val="nil"/>
              <w:right w:val="nil"/>
            </w:tcBorders>
            <w:shd w:val="clear" w:color="auto" w:fill="auto"/>
            <w:hideMark/>
          </w:tcPr>
          <w:p w14:paraId="1565E12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persone autorizzate ad assistere alle operazioni di apertura.</w:t>
            </w:r>
          </w:p>
        </w:tc>
      </w:tr>
      <w:tr w:rsidR="004C45EE" w:rsidRPr="004C45EE" w14:paraId="2D1D0144" w14:textId="77777777" w:rsidTr="004C45EE">
        <w:trPr>
          <w:trHeight w:val="255"/>
        </w:trPr>
        <w:tc>
          <w:tcPr>
            <w:tcW w:w="10180" w:type="dxa"/>
            <w:tcBorders>
              <w:top w:val="nil"/>
              <w:left w:val="nil"/>
              <w:bottom w:val="nil"/>
              <w:right w:val="nil"/>
            </w:tcBorders>
            <w:shd w:val="clear" w:color="auto" w:fill="auto"/>
            <w:hideMark/>
          </w:tcPr>
          <w:p w14:paraId="09C030C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22. Lingua/e utilizzabile/i nelle offerte o nelle domande di partecipazione.</w:t>
            </w:r>
          </w:p>
        </w:tc>
      </w:tr>
      <w:tr w:rsidR="004C45EE" w:rsidRPr="004C45EE" w14:paraId="6FDFDF5D" w14:textId="77777777" w:rsidTr="004C45EE">
        <w:trPr>
          <w:trHeight w:val="255"/>
        </w:trPr>
        <w:tc>
          <w:tcPr>
            <w:tcW w:w="10180" w:type="dxa"/>
            <w:tcBorders>
              <w:top w:val="nil"/>
              <w:left w:val="nil"/>
              <w:bottom w:val="nil"/>
              <w:right w:val="nil"/>
            </w:tcBorders>
            <w:shd w:val="clear" w:color="auto" w:fill="auto"/>
            <w:hideMark/>
          </w:tcPr>
          <w:p w14:paraId="4CC6560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lastRenderedPageBreak/>
              <w:t>23. Eventualmente, indicare se:</w:t>
            </w:r>
          </w:p>
        </w:tc>
      </w:tr>
      <w:tr w:rsidR="004C45EE" w:rsidRPr="004C45EE" w14:paraId="706921E7" w14:textId="77777777" w:rsidTr="004C45EE">
        <w:trPr>
          <w:trHeight w:val="255"/>
        </w:trPr>
        <w:tc>
          <w:tcPr>
            <w:tcW w:w="10180" w:type="dxa"/>
            <w:tcBorders>
              <w:top w:val="nil"/>
              <w:left w:val="nil"/>
              <w:bottom w:val="nil"/>
              <w:right w:val="nil"/>
            </w:tcBorders>
            <w:shd w:val="clear" w:color="auto" w:fill="auto"/>
            <w:hideMark/>
          </w:tcPr>
          <w:p w14:paraId="7A88E29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la presentazione per via elettronica delle offerte o delle domande di partecipazione è accettata;</w:t>
            </w:r>
          </w:p>
        </w:tc>
      </w:tr>
      <w:tr w:rsidR="004C45EE" w:rsidRPr="004C45EE" w14:paraId="08F0E616" w14:textId="77777777" w:rsidTr="004C45EE">
        <w:trPr>
          <w:trHeight w:val="255"/>
        </w:trPr>
        <w:tc>
          <w:tcPr>
            <w:tcW w:w="10180" w:type="dxa"/>
            <w:tcBorders>
              <w:top w:val="nil"/>
              <w:left w:val="nil"/>
              <w:bottom w:val="nil"/>
              <w:right w:val="nil"/>
            </w:tcBorders>
            <w:shd w:val="clear" w:color="auto" w:fill="auto"/>
            <w:hideMark/>
          </w:tcPr>
          <w:p w14:paraId="0C46888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si farà ricorso all'ordinazione elettronica;</w:t>
            </w:r>
          </w:p>
        </w:tc>
      </w:tr>
      <w:tr w:rsidR="004C45EE" w:rsidRPr="004C45EE" w14:paraId="47A432CF" w14:textId="77777777" w:rsidTr="004C45EE">
        <w:trPr>
          <w:trHeight w:val="255"/>
        </w:trPr>
        <w:tc>
          <w:tcPr>
            <w:tcW w:w="10180" w:type="dxa"/>
            <w:tcBorders>
              <w:top w:val="nil"/>
              <w:left w:val="nil"/>
              <w:bottom w:val="nil"/>
              <w:right w:val="nil"/>
            </w:tcBorders>
            <w:shd w:val="clear" w:color="auto" w:fill="auto"/>
            <w:hideMark/>
          </w:tcPr>
          <w:p w14:paraId="1CB7863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sarà accettata la fatturazione elettronica;</w:t>
            </w:r>
          </w:p>
        </w:tc>
      </w:tr>
      <w:tr w:rsidR="004C45EE" w:rsidRPr="004C45EE" w14:paraId="46465B47" w14:textId="77777777" w:rsidTr="004C45EE">
        <w:trPr>
          <w:trHeight w:val="255"/>
        </w:trPr>
        <w:tc>
          <w:tcPr>
            <w:tcW w:w="10180" w:type="dxa"/>
            <w:tcBorders>
              <w:top w:val="nil"/>
              <w:left w:val="nil"/>
              <w:bottom w:val="nil"/>
              <w:right w:val="nil"/>
            </w:tcBorders>
            <w:shd w:val="clear" w:color="auto" w:fill="auto"/>
            <w:hideMark/>
          </w:tcPr>
          <w:p w14:paraId="013E18B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 sarà utilizzato il pagamento elettronico.</w:t>
            </w:r>
          </w:p>
        </w:tc>
      </w:tr>
      <w:tr w:rsidR="004C45EE" w:rsidRPr="004C45EE" w14:paraId="6FFEBEA3" w14:textId="77777777" w:rsidTr="004C45EE">
        <w:trPr>
          <w:trHeight w:val="255"/>
        </w:trPr>
        <w:tc>
          <w:tcPr>
            <w:tcW w:w="10180" w:type="dxa"/>
            <w:tcBorders>
              <w:top w:val="nil"/>
              <w:left w:val="nil"/>
              <w:bottom w:val="nil"/>
              <w:right w:val="nil"/>
            </w:tcBorders>
            <w:shd w:val="clear" w:color="auto" w:fill="auto"/>
            <w:hideMark/>
          </w:tcPr>
          <w:p w14:paraId="14287AE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24. Informazioni che indicano se l'appalto è connesso a un progetto o programma finanziato dai fondi dell'Unione europea.</w:t>
            </w:r>
          </w:p>
        </w:tc>
      </w:tr>
      <w:tr w:rsidR="004C45EE" w:rsidRPr="004C45EE" w14:paraId="44CB940E" w14:textId="77777777" w:rsidTr="004C45EE">
        <w:trPr>
          <w:trHeight w:val="765"/>
        </w:trPr>
        <w:tc>
          <w:tcPr>
            <w:tcW w:w="10180" w:type="dxa"/>
            <w:tcBorders>
              <w:top w:val="nil"/>
              <w:left w:val="nil"/>
              <w:bottom w:val="nil"/>
              <w:right w:val="nil"/>
            </w:tcBorders>
            <w:shd w:val="clear" w:color="auto" w:fill="auto"/>
            <w:hideMark/>
          </w:tcPr>
          <w:p w14:paraId="1AE4563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25. Denominazione e indirizzo dell'organo responsabile delle procedure di ricorso e, se del caso, di mediazione. Precisazioni dei termini per la proposizione del ricorso o, se del caso, nome, indirizzo, numero di telefono e di fax, nonché indirizzo di posta elettronica del servizio presso il quale si possono richiedere tali informazioni.</w:t>
            </w:r>
          </w:p>
        </w:tc>
      </w:tr>
      <w:tr w:rsidR="004C45EE" w:rsidRPr="004C45EE" w14:paraId="64044F80" w14:textId="77777777" w:rsidTr="004C45EE">
        <w:trPr>
          <w:trHeight w:val="510"/>
        </w:trPr>
        <w:tc>
          <w:tcPr>
            <w:tcW w:w="10180" w:type="dxa"/>
            <w:tcBorders>
              <w:top w:val="nil"/>
              <w:left w:val="nil"/>
              <w:bottom w:val="nil"/>
              <w:right w:val="nil"/>
            </w:tcBorders>
            <w:shd w:val="clear" w:color="auto" w:fill="auto"/>
            <w:hideMark/>
          </w:tcPr>
          <w:p w14:paraId="50FBB96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26. Date e riferimenti di precedenti pubblicazioni nella Gazzetta ufficiale dell'Unione europea e nella Banca Dati ANAC relative all'appalto/agli appalti di cui al presente avviso.</w:t>
            </w:r>
          </w:p>
        </w:tc>
      </w:tr>
      <w:tr w:rsidR="004C45EE" w:rsidRPr="004C45EE" w14:paraId="602E4CEB" w14:textId="77777777" w:rsidTr="004C45EE">
        <w:trPr>
          <w:trHeight w:val="255"/>
        </w:trPr>
        <w:tc>
          <w:tcPr>
            <w:tcW w:w="10180" w:type="dxa"/>
            <w:tcBorders>
              <w:top w:val="nil"/>
              <w:left w:val="nil"/>
              <w:bottom w:val="nil"/>
              <w:right w:val="nil"/>
            </w:tcBorders>
            <w:shd w:val="clear" w:color="auto" w:fill="auto"/>
            <w:hideMark/>
          </w:tcPr>
          <w:p w14:paraId="146ACC5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27. Nel caso di appalti rinnovabili, calendario previsto per la pubblicazione dei prossimi bandi e avvisi.</w:t>
            </w:r>
          </w:p>
        </w:tc>
      </w:tr>
      <w:tr w:rsidR="004C45EE" w:rsidRPr="004C45EE" w14:paraId="07FEFA55" w14:textId="77777777" w:rsidTr="004C45EE">
        <w:trPr>
          <w:trHeight w:val="255"/>
        </w:trPr>
        <w:tc>
          <w:tcPr>
            <w:tcW w:w="10180" w:type="dxa"/>
            <w:tcBorders>
              <w:top w:val="nil"/>
              <w:left w:val="nil"/>
              <w:bottom w:val="nil"/>
              <w:right w:val="nil"/>
            </w:tcBorders>
            <w:shd w:val="clear" w:color="auto" w:fill="auto"/>
            <w:hideMark/>
          </w:tcPr>
          <w:p w14:paraId="6B49C45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28. Data d'invio dell'avviso.</w:t>
            </w:r>
          </w:p>
        </w:tc>
      </w:tr>
      <w:tr w:rsidR="004C45EE" w:rsidRPr="004C45EE" w14:paraId="44917C2E" w14:textId="77777777" w:rsidTr="004C45EE">
        <w:trPr>
          <w:trHeight w:val="255"/>
        </w:trPr>
        <w:tc>
          <w:tcPr>
            <w:tcW w:w="10180" w:type="dxa"/>
            <w:tcBorders>
              <w:top w:val="nil"/>
              <w:left w:val="nil"/>
              <w:bottom w:val="nil"/>
              <w:right w:val="nil"/>
            </w:tcBorders>
            <w:shd w:val="clear" w:color="auto" w:fill="auto"/>
            <w:hideMark/>
          </w:tcPr>
          <w:p w14:paraId="5BD63A9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29. Indicare se l'appalto rientra o meno nell'ambito di applicazione dell'AAP.</w:t>
            </w:r>
          </w:p>
        </w:tc>
      </w:tr>
      <w:tr w:rsidR="004C45EE" w:rsidRPr="004C45EE" w14:paraId="23340A4B" w14:textId="77777777" w:rsidTr="004C45EE">
        <w:trPr>
          <w:trHeight w:val="255"/>
        </w:trPr>
        <w:tc>
          <w:tcPr>
            <w:tcW w:w="10180" w:type="dxa"/>
            <w:tcBorders>
              <w:top w:val="nil"/>
              <w:left w:val="nil"/>
              <w:bottom w:val="nil"/>
              <w:right w:val="nil"/>
            </w:tcBorders>
            <w:shd w:val="clear" w:color="auto" w:fill="auto"/>
            <w:hideMark/>
          </w:tcPr>
          <w:p w14:paraId="1C55D0B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30. Altre eventuali informazioni.</w:t>
            </w:r>
          </w:p>
        </w:tc>
      </w:tr>
      <w:tr w:rsidR="004C45EE" w:rsidRPr="004C45EE" w14:paraId="06C108FC" w14:textId="77777777" w:rsidTr="004C45EE">
        <w:trPr>
          <w:trHeight w:val="510"/>
        </w:trPr>
        <w:tc>
          <w:tcPr>
            <w:tcW w:w="10180" w:type="dxa"/>
            <w:tcBorders>
              <w:top w:val="nil"/>
              <w:left w:val="nil"/>
              <w:bottom w:val="nil"/>
              <w:right w:val="nil"/>
            </w:tcBorders>
            <w:shd w:val="clear" w:color="auto" w:fill="auto"/>
            <w:hideMark/>
          </w:tcPr>
          <w:p w14:paraId="1E7B999E" w14:textId="77777777" w:rsidR="004C45EE" w:rsidRPr="004C45EE" w:rsidRDefault="004C45EE" w:rsidP="004C45EE">
            <w:pPr>
              <w:shd w:val="clear" w:color="auto" w:fill="F2F2F2" w:themeFill="background1" w:themeFillShade="F2"/>
              <w:rPr>
                <w:rFonts w:eastAsia="Times New Roman"/>
                <w:color w:val="000000"/>
                <w:kern w:val="0"/>
                <w:sz w:val="20"/>
                <w:szCs w:val="20"/>
                <w:lang w:eastAsia="it-IT"/>
              </w:rPr>
            </w:pPr>
            <w:r w:rsidRPr="004C45EE">
              <w:rPr>
                <w:rFonts w:eastAsia="Times New Roman"/>
                <w:b/>
                <w:bCs/>
                <w:kern w:val="0"/>
                <w:sz w:val="20"/>
                <w:szCs w:val="20"/>
                <w:lang w:eastAsia="it-IT"/>
              </w:rPr>
              <w:t xml:space="preserve">D – INFORMAZIONI CHE DEVONO FIGURARE NEGLI AVVISI RELATIVI AGLI APPALTI AGGIUDICATI </w:t>
            </w:r>
            <w:r w:rsidRPr="004C45EE">
              <w:rPr>
                <w:rFonts w:eastAsia="Times New Roman"/>
                <w:kern w:val="0"/>
                <w:sz w:val="20"/>
                <w:szCs w:val="20"/>
                <w:lang w:eastAsia="it-IT"/>
              </w:rPr>
              <w:t>(</w:t>
            </w:r>
            <w:r w:rsidRPr="004C45EE">
              <w:rPr>
                <w:rFonts w:eastAsia="Times New Roman"/>
                <w:b/>
                <w:bCs/>
                <w:kern w:val="0"/>
                <w:sz w:val="20"/>
                <w:szCs w:val="20"/>
                <w:lang w:eastAsia="it-IT"/>
              </w:rPr>
              <w:t>di cui all'articolo 111</w:t>
            </w:r>
            <w:r w:rsidRPr="004C45EE">
              <w:rPr>
                <w:rFonts w:eastAsia="Times New Roman"/>
                <w:kern w:val="0"/>
                <w:sz w:val="20"/>
                <w:szCs w:val="20"/>
                <w:lang w:eastAsia="it-IT"/>
              </w:rPr>
              <w:t>)</w:t>
            </w:r>
          </w:p>
        </w:tc>
      </w:tr>
      <w:tr w:rsidR="004C45EE" w:rsidRPr="004C45EE" w14:paraId="431F73DE" w14:textId="77777777" w:rsidTr="004C45EE">
        <w:trPr>
          <w:trHeight w:val="510"/>
        </w:trPr>
        <w:tc>
          <w:tcPr>
            <w:tcW w:w="10180" w:type="dxa"/>
            <w:tcBorders>
              <w:top w:val="nil"/>
              <w:left w:val="nil"/>
              <w:bottom w:val="nil"/>
              <w:right w:val="nil"/>
            </w:tcBorders>
            <w:shd w:val="clear" w:color="auto" w:fill="auto"/>
            <w:hideMark/>
          </w:tcPr>
          <w:p w14:paraId="3682631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indirizzo comprensivo di codice NUTS, telefono, fax, posta elettronica e indirizzo Internet della stazione appaltante e, se diverso, del servizio al quale rivolgersi per informazioni complementari.</w:t>
            </w:r>
          </w:p>
        </w:tc>
      </w:tr>
      <w:tr w:rsidR="004C45EE" w:rsidRPr="004C45EE" w14:paraId="0D00B1AC" w14:textId="77777777" w:rsidTr="004C45EE">
        <w:trPr>
          <w:trHeight w:val="255"/>
        </w:trPr>
        <w:tc>
          <w:tcPr>
            <w:tcW w:w="10180" w:type="dxa"/>
            <w:tcBorders>
              <w:top w:val="nil"/>
              <w:left w:val="nil"/>
              <w:bottom w:val="nil"/>
              <w:right w:val="nil"/>
            </w:tcBorders>
            <w:shd w:val="clear" w:color="auto" w:fill="auto"/>
            <w:hideMark/>
          </w:tcPr>
          <w:p w14:paraId="28ACECA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Tipo di stazione appaltante e principale attività esercitata.</w:t>
            </w:r>
          </w:p>
        </w:tc>
      </w:tr>
      <w:tr w:rsidR="004C45EE" w:rsidRPr="004C45EE" w14:paraId="737C7281" w14:textId="77777777" w:rsidTr="004C45EE">
        <w:trPr>
          <w:trHeight w:val="510"/>
        </w:trPr>
        <w:tc>
          <w:tcPr>
            <w:tcW w:w="10180" w:type="dxa"/>
            <w:tcBorders>
              <w:top w:val="nil"/>
              <w:left w:val="nil"/>
              <w:bottom w:val="nil"/>
              <w:right w:val="nil"/>
            </w:tcBorders>
            <w:shd w:val="clear" w:color="auto" w:fill="auto"/>
            <w:hideMark/>
          </w:tcPr>
          <w:p w14:paraId="6EACBA8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Se del caso, l'indicazione che la stazione appaltante è una centrale di committenza o che si tratta di una qualsiasi altra forma di appalto congiunto.</w:t>
            </w:r>
          </w:p>
        </w:tc>
      </w:tr>
      <w:tr w:rsidR="004C45EE" w:rsidRPr="004C45EE" w14:paraId="5C434CD2" w14:textId="77777777" w:rsidTr="004C45EE">
        <w:trPr>
          <w:trHeight w:val="255"/>
        </w:trPr>
        <w:tc>
          <w:tcPr>
            <w:tcW w:w="10180" w:type="dxa"/>
            <w:tcBorders>
              <w:top w:val="nil"/>
              <w:left w:val="nil"/>
              <w:bottom w:val="nil"/>
              <w:right w:val="nil"/>
            </w:tcBorders>
            <w:shd w:val="clear" w:color="auto" w:fill="auto"/>
            <w:hideMark/>
          </w:tcPr>
          <w:p w14:paraId="0841B82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Codici CPV.</w:t>
            </w:r>
          </w:p>
        </w:tc>
      </w:tr>
      <w:tr w:rsidR="004C45EE" w:rsidRPr="004C45EE" w14:paraId="6297D62B" w14:textId="77777777" w:rsidTr="004C45EE">
        <w:trPr>
          <w:trHeight w:val="510"/>
        </w:trPr>
        <w:tc>
          <w:tcPr>
            <w:tcW w:w="10180" w:type="dxa"/>
            <w:tcBorders>
              <w:top w:val="nil"/>
              <w:left w:val="nil"/>
              <w:bottom w:val="nil"/>
              <w:right w:val="nil"/>
            </w:tcBorders>
            <w:shd w:val="clear" w:color="auto" w:fill="auto"/>
            <w:hideMark/>
          </w:tcPr>
          <w:p w14:paraId="1CE6F02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Il codice NUTS del luogo principale per l'esecuzione dei lavori nel caso di appalti di lavori o il codice NUTS del luogo principale di consegna o di prestazione per gli appalti di forniture e di servizi.</w:t>
            </w:r>
          </w:p>
        </w:tc>
      </w:tr>
      <w:tr w:rsidR="004C45EE" w:rsidRPr="004C45EE" w14:paraId="7AF91FB7" w14:textId="77777777" w:rsidTr="004C45EE">
        <w:trPr>
          <w:trHeight w:val="765"/>
        </w:trPr>
        <w:tc>
          <w:tcPr>
            <w:tcW w:w="10180" w:type="dxa"/>
            <w:tcBorders>
              <w:top w:val="nil"/>
              <w:left w:val="nil"/>
              <w:bottom w:val="nil"/>
              <w:right w:val="nil"/>
            </w:tcBorders>
            <w:shd w:val="clear" w:color="auto" w:fill="auto"/>
            <w:hideMark/>
          </w:tcPr>
          <w:p w14:paraId="76000CD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Descrizione dell'appalto: natura ed entità dei lavori, natura e quantità o valore delle forniture; natura ed entità dei servizi. Se l'appalto è suddiviso in lotti, tali informazioni sono fornite per ogni lotto. Eventualmente, una descrizione di qualsiasi opzione.</w:t>
            </w:r>
          </w:p>
        </w:tc>
      </w:tr>
      <w:tr w:rsidR="004C45EE" w:rsidRPr="004C45EE" w14:paraId="144093FA" w14:textId="77777777" w:rsidTr="004C45EE">
        <w:trPr>
          <w:trHeight w:val="510"/>
        </w:trPr>
        <w:tc>
          <w:tcPr>
            <w:tcW w:w="10180" w:type="dxa"/>
            <w:tcBorders>
              <w:top w:val="nil"/>
              <w:left w:val="nil"/>
              <w:bottom w:val="nil"/>
              <w:right w:val="nil"/>
            </w:tcBorders>
            <w:shd w:val="clear" w:color="auto" w:fill="auto"/>
            <w:hideMark/>
          </w:tcPr>
          <w:p w14:paraId="4242B5A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Tipo di procedura di aggiudicazione; nel caso di procedura negoziata senza previa pubblicazione, motivazione del ricorso a tale procedura.</w:t>
            </w:r>
          </w:p>
        </w:tc>
      </w:tr>
      <w:tr w:rsidR="004C45EE" w:rsidRPr="004C45EE" w14:paraId="3217DC22" w14:textId="77777777" w:rsidTr="004C45EE">
        <w:trPr>
          <w:trHeight w:val="255"/>
        </w:trPr>
        <w:tc>
          <w:tcPr>
            <w:tcW w:w="10180" w:type="dxa"/>
            <w:tcBorders>
              <w:top w:val="nil"/>
              <w:left w:val="nil"/>
              <w:bottom w:val="nil"/>
              <w:right w:val="nil"/>
            </w:tcBorders>
            <w:shd w:val="clear" w:color="auto" w:fill="auto"/>
            <w:hideMark/>
          </w:tcPr>
          <w:p w14:paraId="0C79A76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Eventualmente, indicare se:</w:t>
            </w:r>
          </w:p>
        </w:tc>
      </w:tr>
      <w:tr w:rsidR="004C45EE" w:rsidRPr="004C45EE" w14:paraId="2CA4DDE7" w14:textId="77777777" w:rsidTr="004C45EE">
        <w:trPr>
          <w:trHeight w:val="255"/>
        </w:trPr>
        <w:tc>
          <w:tcPr>
            <w:tcW w:w="10180" w:type="dxa"/>
            <w:tcBorders>
              <w:top w:val="nil"/>
              <w:left w:val="nil"/>
              <w:bottom w:val="nil"/>
              <w:right w:val="nil"/>
            </w:tcBorders>
            <w:shd w:val="clear" w:color="auto" w:fill="auto"/>
            <w:hideMark/>
          </w:tcPr>
          <w:p w14:paraId="5864C34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si tratta di un accordo quadro;</w:t>
            </w:r>
          </w:p>
        </w:tc>
      </w:tr>
      <w:tr w:rsidR="004C45EE" w:rsidRPr="004C45EE" w14:paraId="2C1A61C4" w14:textId="77777777" w:rsidTr="004C45EE">
        <w:trPr>
          <w:trHeight w:val="255"/>
        </w:trPr>
        <w:tc>
          <w:tcPr>
            <w:tcW w:w="10180" w:type="dxa"/>
            <w:tcBorders>
              <w:top w:val="nil"/>
              <w:left w:val="nil"/>
              <w:bottom w:val="nil"/>
              <w:right w:val="nil"/>
            </w:tcBorders>
            <w:shd w:val="clear" w:color="auto" w:fill="auto"/>
            <w:hideMark/>
          </w:tcPr>
          <w:p w14:paraId="4BE1AF9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si tratta di un sistema dinamico di acquisizione.</w:t>
            </w:r>
          </w:p>
        </w:tc>
      </w:tr>
      <w:tr w:rsidR="004C45EE" w:rsidRPr="004C45EE" w14:paraId="34CFD0F5" w14:textId="77777777" w:rsidTr="004C45EE">
        <w:trPr>
          <w:trHeight w:val="765"/>
        </w:trPr>
        <w:tc>
          <w:tcPr>
            <w:tcW w:w="10180" w:type="dxa"/>
            <w:tcBorders>
              <w:top w:val="nil"/>
              <w:left w:val="nil"/>
              <w:bottom w:val="nil"/>
              <w:right w:val="nil"/>
            </w:tcBorders>
            <w:shd w:val="clear" w:color="auto" w:fill="auto"/>
            <w:hideMark/>
          </w:tcPr>
          <w:p w14:paraId="0B25663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9. I criteri di cui all'articolo 108 che sono stati utilizzati per l'aggiudicazione dell'appalto o degli appalti. Se del caso, l'indicazione se è stato fatto ricorso a un'asta elettronica (in caso di procedure aperte o ristrette o di procedure competitive con negoziazione).</w:t>
            </w:r>
          </w:p>
        </w:tc>
      </w:tr>
      <w:tr w:rsidR="004C45EE" w:rsidRPr="004C45EE" w14:paraId="694C0707" w14:textId="77777777" w:rsidTr="004C45EE">
        <w:trPr>
          <w:trHeight w:val="255"/>
        </w:trPr>
        <w:tc>
          <w:tcPr>
            <w:tcW w:w="10180" w:type="dxa"/>
            <w:tcBorders>
              <w:top w:val="nil"/>
              <w:left w:val="nil"/>
              <w:bottom w:val="nil"/>
              <w:right w:val="nil"/>
            </w:tcBorders>
            <w:shd w:val="clear" w:color="auto" w:fill="auto"/>
            <w:hideMark/>
          </w:tcPr>
          <w:p w14:paraId="2390139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10. Data di conclusione dei contratti o degli accordi quadro a seguito della decisione di aggiudicazione o conclusione.</w:t>
            </w:r>
          </w:p>
        </w:tc>
      </w:tr>
      <w:tr w:rsidR="004C45EE" w:rsidRPr="004C45EE" w14:paraId="0BEB2BEF" w14:textId="77777777" w:rsidTr="004C45EE">
        <w:trPr>
          <w:trHeight w:val="255"/>
        </w:trPr>
        <w:tc>
          <w:tcPr>
            <w:tcW w:w="10180" w:type="dxa"/>
            <w:tcBorders>
              <w:top w:val="nil"/>
              <w:left w:val="nil"/>
              <w:bottom w:val="nil"/>
              <w:right w:val="nil"/>
            </w:tcBorders>
            <w:shd w:val="clear" w:color="auto" w:fill="auto"/>
            <w:hideMark/>
          </w:tcPr>
          <w:p w14:paraId="24B697D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11. Numero di offerte ricevute con riferimento a ciascun appalto, compresi:</w:t>
            </w:r>
          </w:p>
        </w:tc>
      </w:tr>
      <w:tr w:rsidR="004C45EE" w:rsidRPr="004C45EE" w14:paraId="3E04BA89" w14:textId="77777777" w:rsidTr="004C45EE">
        <w:trPr>
          <w:trHeight w:val="255"/>
        </w:trPr>
        <w:tc>
          <w:tcPr>
            <w:tcW w:w="10180" w:type="dxa"/>
            <w:tcBorders>
              <w:top w:val="nil"/>
              <w:left w:val="nil"/>
              <w:bottom w:val="nil"/>
              <w:right w:val="nil"/>
            </w:tcBorders>
            <w:shd w:val="clear" w:color="auto" w:fill="auto"/>
            <w:hideMark/>
          </w:tcPr>
          <w:p w14:paraId="58011EB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numero di offerte ricevute da operatori economici costituiti da piccole e medie imprese;</w:t>
            </w:r>
          </w:p>
        </w:tc>
      </w:tr>
      <w:tr w:rsidR="004C45EE" w:rsidRPr="004C45EE" w14:paraId="5D0EF7BC" w14:textId="77777777" w:rsidTr="004C45EE">
        <w:trPr>
          <w:trHeight w:val="255"/>
        </w:trPr>
        <w:tc>
          <w:tcPr>
            <w:tcW w:w="10180" w:type="dxa"/>
            <w:tcBorders>
              <w:top w:val="nil"/>
              <w:left w:val="nil"/>
              <w:bottom w:val="nil"/>
              <w:right w:val="nil"/>
            </w:tcBorders>
            <w:shd w:val="clear" w:color="auto" w:fill="auto"/>
            <w:hideMark/>
          </w:tcPr>
          <w:p w14:paraId="5674E20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numero di offerte ricevute da un altro Stato membro o da un paese terzo;</w:t>
            </w:r>
          </w:p>
        </w:tc>
      </w:tr>
      <w:tr w:rsidR="004C45EE" w:rsidRPr="004C45EE" w14:paraId="774E3DFE" w14:textId="77777777" w:rsidTr="004C45EE">
        <w:trPr>
          <w:trHeight w:val="255"/>
        </w:trPr>
        <w:tc>
          <w:tcPr>
            <w:tcW w:w="10180" w:type="dxa"/>
            <w:tcBorders>
              <w:top w:val="nil"/>
              <w:left w:val="nil"/>
              <w:bottom w:val="nil"/>
              <w:right w:val="nil"/>
            </w:tcBorders>
            <w:shd w:val="clear" w:color="auto" w:fill="auto"/>
            <w:hideMark/>
          </w:tcPr>
          <w:p w14:paraId="2242CA0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numero di offerte ricevute per via elettronica.</w:t>
            </w:r>
          </w:p>
        </w:tc>
      </w:tr>
      <w:tr w:rsidR="004C45EE" w:rsidRPr="004C45EE" w14:paraId="04B0A16B" w14:textId="77777777" w:rsidTr="004C45EE">
        <w:trPr>
          <w:trHeight w:val="510"/>
        </w:trPr>
        <w:tc>
          <w:tcPr>
            <w:tcW w:w="10180" w:type="dxa"/>
            <w:tcBorders>
              <w:top w:val="nil"/>
              <w:left w:val="nil"/>
              <w:bottom w:val="nil"/>
              <w:right w:val="nil"/>
            </w:tcBorders>
            <w:shd w:val="clear" w:color="auto" w:fill="auto"/>
            <w:hideMark/>
          </w:tcPr>
          <w:p w14:paraId="0FAD415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12. Per ciascuna aggiudicazione: nome, indirizzo comprensivo di codice NUTS, telefono, fax, posta elettronica e indirizzo Internet dell'aggiudicatario o degli aggiudicatari, comprese:</w:t>
            </w:r>
          </w:p>
        </w:tc>
      </w:tr>
      <w:tr w:rsidR="004C45EE" w:rsidRPr="004C45EE" w14:paraId="6B519045" w14:textId="77777777" w:rsidTr="004C45EE">
        <w:trPr>
          <w:trHeight w:val="255"/>
        </w:trPr>
        <w:tc>
          <w:tcPr>
            <w:tcW w:w="10180" w:type="dxa"/>
            <w:tcBorders>
              <w:top w:val="nil"/>
              <w:left w:val="nil"/>
              <w:bottom w:val="nil"/>
              <w:right w:val="nil"/>
            </w:tcBorders>
            <w:shd w:val="clear" w:color="auto" w:fill="auto"/>
            <w:hideMark/>
          </w:tcPr>
          <w:p w14:paraId="072D2E3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informazioni che specificano se l'aggiudicatario è una piccola e media impresa;</w:t>
            </w:r>
          </w:p>
        </w:tc>
      </w:tr>
      <w:tr w:rsidR="004C45EE" w:rsidRPr="004C45EE" w14:paraId="53CD3420" w14:textId="77777777" w:rsidTr="004C45EE">
        <w:trPr>
          <w:trHeight w:val="510"/>
        </w:trPr>
        <w:tc>
          <w:tcPr>
            <w:tcW w:w="10180" w:type="dxa"/>
            <w:tcBorders>
              <w:top w:val="nil"/>
              <w:left w:val="nil"/>
              <w:bottom w:val="nil"/>
              <w:right w:val="nil"/>
            </w:tcBorders>
            <w:shd w:val="clear" w:color="auto" w:fill="auto"/>
            <w:hideMark/>
          </w:tcPr>
          <w:p w14:paraId="3318A70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informazioni che specificano se l'appalto è stato aggiudicato a un gruppo di operatori economici (joint-venture, consorzio o altro).</w:t>
            </w:r>
          </w:p>
        </w:tc>
      </w:tr>
      <w:tr w:rsidR="004C45EE" w:rsidRPr="004C45EE" w14:paraId="28507757" w14:textId="77777777" w:rsidTr="004C45EE">
        <w:trPr>
          <w:trHeight w:val="510"/>
        </w:trPr>
        <w:tc>
          <w:tcPr>
            <w:tcW w:w="10180" w:type="dxa"/>
            <w:tcBorders>
              <w:top w:val="nil"/>
              <w:left w:val="nil"/>
              <w:bottom w:val="nil"/>
              <w:right w:val="nil"/>
            </w:tcBorders>
            <w:shd w:val="clear" w:color="auto" w:fill="auto"/>
            <w:hideMark/>
          </w:tcPr>
          <w:p w14:paraId="0255956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13. Valore dell'offerta (o delle offerte) vincente o dell'offerta massima e dell'offerta minima prese in considerazione ai fini dell'aggiudicazione o delle aggiudicazioni dell'appalto.</w:t>
            </w:r>
          </w:p>
        </w:tc>
      </w:tr>
      <w:tr w:rsidR="004C45EE" w:rsidRPr="004C45EE" w14:paraId="22B8CA2B" w14:textId="77777777" w:rsidTr="004C45EE">
        <w:trPr>
          <w:trHeight w:val="255"/>
        </w:trPr>
        <w:tc>
          <w:tcPr>
            <w:tcW w:w="10180" w:type="dxa"/>
            <w:tcBorders>
              <w:top w:val="nil"/>
              <w:left w:val="nil"/>
              <w:bottom w:val="nil"/>
              <w:right w:val="nil"/>
            </w:tcBorders>
            <w:shd w:val="clear" w:color="auto" w:fill="auto"/>
            <w:hideMark/>
          </w:tcPr>
          <w:p w14:paraId="31FF1AE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14. Se del caso, per ogni aggiudicazione, valore e parte dell'appalto che può essere subappaltato a terzi.</w:t>
            </w:r>
          </w:p>
        </w:tc>
      </w:tr>
      <w:tr w:rsidR="004C45EE" w:rsidRPr="004C45EE" w14:paraId="335626BB" w14:textId="77777777" w:rsidTr="004C45EE">
        <w:trPr>
          <w:trHeight w:val="255"/>
        </w:trPr>
        <w:tc>
          <w:tcPr>
            <w:tcW w:w="10180" w:type="dxa"/>
            <w:tcBorders>
              <w:top w:val="nil"/>
              <w:left w:val="nil"/>
              <w:bottom w:val="nil"/>
              <w:right w:val="nil"/>
            </w:tcBorders>
            <w:shd w:val="clear" w:color="auto" w:fill="auto"/>
            <w:hideMark/>
          </w:tcPr>
          <w:p w14:paraId="2630A5D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15. Informazioni che indicano se l'appalto è connesso a un progetto o programma finanziato dai fondi dell'Unione europea.</w:t>
            </w:r>
          </w:p>
        </w:tc>
      </w:tr>
      <w:tr w:rsidR="004C45EE" w:rsidRPr="004C45EE" w14:paraId="4C7EDA39" w14:textId="77777777" w:rsidTr="004C45EE">
        <w:trPr>
          <w:trHeight w:val="765"/>
        </w:trPr>
        <w:tc>
          <w:tcPr>
            <w:tcW w:w="10180" w:type="dxa"/>
            <w:tcBorders>
              <w:top w:val="nil"/>
              <w:left w:val="nil"/>
              <w:bottom w:val="nil"/>
              <w:right w:val="nil"/>
            </w:tcBorders>
            <w:shd w:val="clear" w:color="auto" w:fill="auto"/>
            <w:hideMark/>
          </w:tcPr>
          <w:p w14:paraId="0B18ABA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16. Denominazione e indirizzo dell'organo responsabile delle procedure di ricorso e, se del caso, di mediazione. Precisazioni dei termini per la proposizione del ricorso o, se del caso, nome, indirizzo, numero di telefono e di fax, nonché indirizzo di posta elettronica del servizio presso il quale si possono richiedere tali informazioni.</w:t>
            </w:r>
          </w:p>
        </w:tc>
      </w:tr>
      <w:tr w:rsidR="004C45EE" w:rsidRPr="004C45EE" w14:paraId="7B448AC9" w14:textId="77777777" w:rsidTr="004C45EE">
        <w:trPr>
          <w:trHeight w:val="510"/>
        </w:trPr>
        <w:tc>
          <w:tcPr>
            <w:tcW w:w="10180" w:type="dxa"/>
            <w:tcBorders>
              <w:top w:val="nil"/>
              <w:left w:val="nil"/>
              <w:bottom w:val="nil"/>
              <w:right w:val="nil"/>
            </w:tcBorders>
            <w:shd w:val="clear" w:color="auto" w:fill="auto"/>
            <w:hideMark/>
          </w:tcPr>
          <w:p w14:paraId="3986966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17. Date e riferimenti di precedenti pubblicazioni nella Gazzetta ufficiale dell'Unione europea o nella Gazzetta Ufficiale della Repubblica italiana relative al contratto/ai contratti di cui al presente avviso.</w:t>
            </w:r>
          </w:p>
        </w:tc>
      </w:tr>
      <w:tr w:rsidR="004C45EE" w:rsidRPr="004C45EE" w14:paraId="3A36EC01" w14:textId="77777777" w:rsidTr="004C45EE">
        <w:trPr>
          <w:trHeight w:val="255"/>
        </w:trPr>
        <w:tc>
          <w:tcPr>
            <w:tcW w:w="10180" w:type="dxa"/>
            <w:tcBorders>
              <w:top w:val="nil"/>
              <w:left w:val="nil"/>
              <w:bottom w:val="nil"/>
              <w:right w:val="nil"/>
            </w:tcBorders>
            <w:shd w:val="clear" w:color="auto" w:fill="auto"/>
            <w:hideMark/>
          </w:tcPr>
          <w:p w14:paraId="0F8D490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18. Data d'invio dell'avviso.</w:t>
            </w:r>
          </w:p>
        </w:tc>
      </w:tr>
      <w:tr w:rsidR="004C45EE" w:rsidRPr="004C45EE" w14:paraId="322608B1" w14:textId="77777777" w:rsidTr="004C45EE">
        <w:trPr>
          <w:trHeight w:val="255"/>
        </w:trPr>
        <w:tc>
          <w:tcPr>
            <w:tcW w:w="10180" w:type="dxa"/>
            <w:tcBorders>
              <w:top w:val="nil"/>
              <w:left w:val="nil"/>
              <w:bottom w:val="nil"/>
              <w:right w:val="nil"/>
            </w:tcBorders>
            <w:shd w:val="clear" w:color="auto" w:fill="auto"/>
            <w:hideMark/>
          </w:tcPr>
          <w:p w14:paraId="6808BC20" w14:textId="77777777" w:rsidR="004C45EE" w:rsidRPr="004C45EE" w:rsidRDefault="004C45EE" w:rsidP="004C45EE">
            <w:pPr>
              <w:shd w:val="clear" w:color="auto" w:fill="F2F2F2" w:themeFill="background1" w:themeFillShade="F2"/>
              <w:rPr>
                <w:rFonts w:eastAsia="Times New Roman"/>
                <w:color w:val="000000"/>
                <w:kern w:val="0"/>
                <w:sz w:val="20"/>
                <w:szCs w:val="20"/>
                <w:lang w:eastAsia="it-IT"/>
              </w:rPr>
            </w:pPr>
            <w:r w:rsidRPr="004C45EE">
              <w:rPr>
                <w:rFonts w:eastAsia="Times New Roman"/>
                <w:kern w:val="0"/>
                <w:sz w:val="20"/>
                <w:szCs w:val="20"/>
                <w:lang w:eastAsia="it-IT"/>
              </w:rPr>
              <w:lastRenderedPageBreak/>
              <w:t>19</w:t>
            </w:r>
            <w:r w:rsidRPr="004C45EE">
              <w:rPr>
                <w:rFonts w:eastAsia="Times New Roman"/>
                <w:b/>
                <w:bCs/>
                <w:kern w:val="0"/>
                <w:sz w:val="20"/>
                <w:szCs w:val="20"/>
                <w:lang w:eastAsia="it-IT"/>
              </w:rPr>
              <w:t xml:space="preserve">. </w:t>
            </w:r>
            <w:r w:rsidRPr="004C45EE">
              <w:rPr>
                <w:rFonts w:eastAsia="Times New Roman"/>
                <w:kern w:val="0"/>
                <w:sz w:val="20"/>
                <w:szCs w:val="20"/>
                <w:lang w:eastAsia="it-IT"/>
              </w:rPr>
              <w:t>Altre eventuali informazioni.</w:t>
            </w:r>
          </w:p>
        </w:tc>
      </w:tr>
      <w:tr w:rsidR="004C45EE" w:rsidRPr="004C45EE" w14:paraId="3CF1386A" w14:textId="77777777" w:rsidTr="004C45EE">
        <w:trPr>
          <w:trHeight w:val="510"/>
        </w:trPr>
        <w:tc>
          <w:tcPr>
            <w:tcW w:w="10180" w:type="dxa"/>
            <w:tcBorders>
              <w:top w:val="nil"/>
              <w:left w:val="nil"/>
              <w:bottom w:val="nil"/>
              <w:right w:val="nil"/>
            </w:tcBorders>
            <w:shd w:val="clear" w:color="auto" w:fill="auto"/>
            <w:hideMark/>
          </w:tcPr>
          <w:p w14:paraId="78284BCF"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E – INFORMAZIONI CHE DEVONO FIGURARE NEI BANDI DI GARA E NEGLI AVVISI DI AGGIUDICAZIONE PER GLI APPALTI DI SERVIZI</w:t>
            </w:r>
          </w:p>
        </w:tc>
      </w:tr>
      <w:tr w:rsidR="004C45EE" w:rsidRPr="004C45EE" w14:paraId="6E9CFE1B" w14:textId="77777777" w:rsidTr="004C45EE">
        <w:trPr>
          <w:trHeight w:val="255"/>
        </w:trPr>
        <w:tc>
          <w:tcPr>
            <w:tcW w:w="10180" w:type="dxa"/>
            <w:tcBorders>
              <w:top w:val="nil"/>
              <w:left w:val="nil"/>
              <w:bottom w:val="nil"/>
              <w:right w:val="nil"/>
            </w:tcBorders>
            <w:shd w:val="clear" w:color="auto" w:fill="auto"/>
            <w:hideMark/>
          </w:tcPr>
          <w:p w14:paraId="0D0E09DC"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SOCIALI E DI ALTRI SERVIZI SPECIFICI (di cui all’articolo 127, comma 1)</w:t>
            </w:r>
          </w:p>
        </w:tc>
      </w:tr>
      <w:tr w:rsidR="004C45EE" w:rsidRPr="004C45EE" w14:paraId="3AF84D07" w14:textId="77777777" w:rsidTr="004C45EE">
        <w:trPr>
          <w:trHeight w:val="510"/>
        </w:trPr>
        <w:tc>
          <w:tcPr>
            <w:tcW w:w="10180" w:type="dxa"/>
            <w:tcBorders>
              <w:top w:val="nil"/>
              <w:left w:val="nil"/>
              <w:bottom w:val="nil"/>
              <w:right w:val="nil"/>
            </w:tcBorders>
            <w:shd w:val="clear" w:color="auto" w:fill="auto"/>
            <w:hideMark/>
          </w:tcPr>
          <w:p w14:paraId="17CD531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indirizzo comprensivo di codice NUTS, posta elettronica e indirizzo Internet della stazione appaltante.</w:t>
            </w:r>
          </w:p>
        </w:tc>
      </w:tr>
      <w:tr w:rsidR="004C45EE" w:rsidRPr="004C45EE" w14:paraId="0E2DFA64" w14:textId="77777777" w:rsidTr="004C45EE">
        <w:trPr>
          <w:trHeight w:val="510"/>
        </w:trPr>
        <w:tc>
          <w:tcPr>
            <w:tcW w:w="10180" w:type="dxa"/>
            <w:tcBorders>
              <w:top w:val="nil"/>
              <w:left w:val="nil"/>
              <w:bottom w:val="nil"/>
              <w:right w:val="nil"/>
            </w:tcBorders>
            <w:shd w:val="clear" w:color="auto" w:fill="auto"/>
            <w:hideMark/>
          </w:tcPr>
          <w:p w14:paraId="62AFD29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Il codice NUTS del luogo principale per l'esecuzione dei lavori nel caso di appalti di lavori o il codice NUTS del luogo principale di consegna o di prestazione per le forniture e i servizi.</w:t>
            </w:r>
          </w:p>
        </w:tc>
      </w:tr>
      <w:tr w:rsidR="004C45EE" w:rsidRPr="004C45EE" w14:paraId="2BED95D8" w14:textId="77777777" w:rsidTr="004C45EE">
        <w:trPr>
          <w:trHeight w:val="255"/>
        </w:trPr>
        <w:tc>
          <w:tcPr>
            <w:tcW w:w="10180" w:type="dxa"/>
            <w:tcBorders>
              <w:top w:val="nil"/>
              <w:left w:val="nil"/>
              <w:bottom w:val="nil"/>
              <w:right w:val="nil"/>
            </w:tcBorders>
            <w:shd w:val="clear" w:color="auto" w:fill="auto"/>
            <w:hideMark/>
          </w:tcPr>
          <w:p w14:paraId="14EB8F8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Una breve descrizione dell'appalto in questione, compresi i codici CPV.</w:t>
            </w:r>
          </w:p>
        </w:tc>
      </w:tr>
      <w:tr w:rsidR="004C45EE" w:rsidRPr="004C45EE" w14:paraId="3C8709BB" w14:textId="77777777" w:rsidTr="004C45EE">
        <w:trPr>
          <w:trHeight w:val="255"/>
        </w:trPr>
        <w:tc>
          <w:tcPr>
            <w:tcW w:w="10180" w:type="dxa"/>
            <w:tcBorders>
              <w:top w:val="nil"/>
              <w:left w:val="nil"/>
              <w:bottom w:val="nil"/>
              <w:right w:val="nil"/>
            </w:tcBorders>
            <w:shd w:val="clear" w:color="auto" w:fill="auto"/>
            <w:hideMark/>
          </w:tcPr>
          <w:p w14:paraId="549A3F9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Condizioni di partecipazione, compreso quanto segue:</w:t>
            </w:r>
          </w:p>
        </w:tc>
      </w:tr>
      <w:tr w:rsidR="004C45EE" w:rsidRPr="004C45EE" w14:paraId="77D43C97" w14:textId="77777777" w:rsidTr="004C45EE">
        <w:trPr>
          <w:trHeight w:val="510"/>
        </w:trPr>
        <w:tc>
          <w:tcPr>
            <w:tcW w:w="10180" w:type="dxa"/>
            <w:tcBorders>
              <w:top w:val="nil"/>
              <w:left w:val="nil"/>
              <w:bottom w:val="nil"/>
              <w:right w:val="nil"/>
            </w:tcBorders>
            <w:shd w:val="clear" w:color="auto" w:fill="auto"/>
            <w:hideMark/>
          </w:tcPr>
          <w:p w14:paraId="238D1E6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l'indicazione, eventuale, se si tratta di un appalto riservato a laboratori protetti o la cui esecuzione è riservata nell'ambito di programmi di lavoro protetti;</w:t>
            </w:r>
          </w:p>
        </w:tc>
      </w:tr>
      <w:tr w:rsidR="004C45EE" w:rsidRPr="004C45EE" w14:paraId="4B85023B" w14:textId="77777777" w:rsidTr="004C45EE">
        <w:trPr>
          <w:trHeight w:val="510"/>
        </w:trPr>
        <w:tc>
          <w:tcPr>
            <w:tcW w:w="10180" w:type="dxa"/>
            <w:tcBorders>
              <w:top w:val="nil"/>
              <w:left w:val="nil"/>
              <w:bottom w:val="nil"/>
              <w:right w:val="nil"/>
            </w:tcBorders>
            <w:shd w:val="clear" w:color="auto" w:fill="auto"/>
            <w:hideMark/>
          </w:tcPr>
          <w:p w14:paraId="242571A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l'indicazione, eventuale, se in forza di disposizioni legislative, regolamentari o amministrative, la prestazione del servizio sia riservata a una particolare professione;</w:t>
            </w:r>
          </w:p>
        </w:tc>
      </w:tr>
      <w:tr w:rsidR="004C45EE" w:rsidRPr="004C45EE" w14:paraId="28A83143" w14:textId="77777777" w:rsidTr="004C45EE">
        <w:trPr>
          <w:trHeight w:val="255"/>
        </w:trPr>
        <w:tc>
          <w:tcPr>
            <w:tcW w:w="10180" w:type="dxa"/>
            <w:tcBorders>
              <w:top w:val="nil"/>
              <w:left w:val="nil"/>
              <w:bottom w:val="nil"/>
              <w:right w:val="nil"/>
            </w:tcBorders>
            <w:shd w:val="clear" w:color="auto" w:fill="auto"/>
            <w:hideMark/>
          </w:tcPr>
          <w:p w14:paraId="48B37BF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Scadenze per contattare la stazione appaltante, in vista della partecipazione.</w:t>
            </w:r>
          </w:p>
        </w:tc>
      </w:tr>
      <w:tr w:rsidR="004C45EE" w:rsidRPr="004C45EE" w14:paraId="7FA8E12E" w14:textId="77777777" w:rsidTr="004C45EE">
        <w:trPr>
          <w:trHeight w:val="255"/>
        </w:trPr>
        <w:tc>
          <w:tcPr>
            <w:tcW w:w="10180" w:type="dxa"/>
            <w:tcBorders>
              <w:top w:val="nil"/>
              <w:left w:val="nil"/>
              <w:bottom w:val="nil"/>
              <w:right w:val="nil"/>
            </w:tcBorders>
            <w:shd w:val="clear" w:color="auto" w:fill="auto"/>
            <w:hideMark/>
          </w:tcPr>
          <w:p w14:paraId="5776B27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Breve descrizione delle caratteristiche principali della procedura di aggiudicazione.</w:t>
            </w:r>
          </w:p>
        </w:tc>
      </w:tr>
      <w:tr w:rsidR="004C45EE" w:rsidRPr="004C45EE" w14:paraId="2EE5F519" w14:textId="77777777" w:rsidTr="004C45EE">
        <w:trPr>
          <w:trHeight w:val="510"/>
        </w:trPr>
        <w:tc>
          <w:tcPr>
            <w:tcW w:w="10180" w:type="dxa"/>
            <w:tcBorders>
              <w:top w:val="nil"/>
              <w:left w:val="nil"/>
              <w:bottom w:val="nil"/>
              <w:right w:val="nil"/>
            </w:tcBorders>
            <w:shd w:val="clear" w:color="auto" w:fill="auto"/>
            <w:hideMark/>
          </w:tcPr>
          <w:p w14:paraId="0CD3A823" w14:textId="77777777" w:rsidR="004C45EE" w:rsidRPr="004C45EE" w:rsidRDefault="004C45EE" w:rsidP="004C45EE">
            <w:pPr>
              <w:shd w:val="clear" w:color="auto" w:fill="F2F2F2" w:themeFill="background1" w:themeFillShade="F2"/>
              <w:rPr>
                <w:rFonts w:eastAsia="Times New Roman"/>
                <w:color w:val="000000"/>
                <w:kern w:val="0"/>
                <w:sz w:val="20"/>
                <w:szCs w:val="20"/>
                <w:lang w:eastAsia="it-IT"/>
              </w:rPr>
            </w:pPr>
            <w:r w:rsidRPr="004C45EE">
              <w:rPr>
                <w:rFonts w:eastAsia="Times New Roman"/>
                <w:b/>
                <w:bCs/>
                <w:kern w:val="0"/>
                <w:sz w:val="20"/>
                <w:szCs w:val="20"/>
                <w:lang w:eastAsia="it-IT"/>
              </w:rPr>
              <w:t xml:space="preserve">F – INFORMAZIONI CHE DEVONO FIGURARE NEGLI AVVISI PER GLI APPALTI DI SERVIZI SOCIALI E DI ALTRI SERVIZI SPECIFICI </w:t>
            </w:r>
            <w:r w:rsidRPr="004C45EE">
              <w:rPr>
                <w:rFonts w:eastAsia="Times New Roman"/>
                <w:kern w:val="0"/>
                <w:sz w:val="20"/>
                <w:szCs w:val="20"/>
                <w:lang w:eastAsia="it-IT"/>
              </w:rPr>
              <w:t>(</w:t>
            </w:r>
            <w:r w:rsidRPr="004C45EE">
              <w:rPr>
                <w:rFonts w:eastAsia="Times New Roman"/>
                <w:b/>
                <w:bCs/>
                <w:kern w:val="0"/>
                <w:sz w:val="20"/>
                <w:szCs w:val="20"/>
                <w:lang w:eastAsia="it-IT"/>
              </w:rPr>
              <w:t>di</w:t>
            </w:r>
          </w:p>
        </w:tc>
      </w:tr>
      <w:tr w:rsidR="004C45EE" w:rsidRPr="004C45EE" w14:paraId="46F709C8" w14:textId="77777777" w:rsidTr="004C45EE">
        <w:trPr>
          <w:trHeight w:val="255"/>
        </w:trPr>
        <w:tc>
          <w:tcPr>
            <w:tcW w:w="10180" w:type="dxa"/>
            <w:tcBorders>
              <w:top w:val="nil"/>
              <w:left w:val="nil"/>
              <w:bottom w:val="nil"/>
              <w:right w:val="nil"/>
            </w:tcBorders>
            <w:shd w:val="clear" w:color="auto" w:fill="auto"/>
            <w:hideMark/>
          </w:tcPr>
          <w:p w14:paraId="46F88444"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cui all’articolo 127, comma 1)</w:t>
            </w:r>
          </w:p>
        </w:tc>
      </w:tr>
      <w:tr w:rsidR="004C45EE" w:rsidRPr="004C45EE" w14:paraId="25A6129D" w14:textId="77777777" w:rsidTr="004C45EE">
        <w:trPr>
          <w:trHeight w:val="510"/>
        </w:trPr>
        <w:tc>
          <w:tcPr>
            <w:tcW w:w="10180" w:type="dxa"/>
            <w:tcBorders>
              <w:top w:val="nil"/>
              <w:left w:val="nil"/>
              <w:bottom w:val="nil"/>
              <w:right w:val="nil"/>
            </w:tcBorders>
            <w:shd w:val="clear" w:color="auto" w:fill="auto"/>
            <w:hideMark/>
          </w:tcPr>
          <w:p w14:paraId="0E3F18C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dalla legislazione nazionale, indirizzo comprensivo di codice NUTS, posta elettronica e indirizzo Internet della stazione appaltante.</w:t>
            </w:r>
          </w:p>
        </w:tc>
      </w:tr>
      <w:tr w:rsidR="004C45EE" w:rsidRPr="004C45EE" w14:paraId="71823C86" w14:textId="77777777" w:rsidTr="004C45EE">
        <w:trPr>
          <w:trHeight w:val="255"/>
        </w:trPr>
        <w:tc>
          <w:tcPr>
            <w:tcW w:w="10180" w:type="dxa"/>
            <w:tcBorders>
              <w:top w:val="nil"/>
              <w:left w:val="nil"/>
              <w:bottom w:val="nil"/>
              <w:right w:val="nil"/>
            </w:tcBorders>
            <w:shd w:val="clear" w:color="auto" w:fill="auto"/>
            <w:hideMark/>
          </w:tcPr>
          <w:p w14:paraId="6F24CAB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Una breve descrizione dell'appalto in questione, compreso il valore complessivo stimato del contratto e i codici CPV.</w:t>
            </w:r>
          </w:p>
        </w:tc>
      </w:tr>
      <w:tr w:rsidR="004C45EE" w:rsidRPr="004C45EE" w14:paraId="69254AEF" w14:textId="77777777" w:rsidTr="004C45EE">
        <w:trPr>
          <w:trHeight w:val="255"/>
        </w:trPr>
        <w:tc>
          <w:tcPr>
            <w:tcW w:w="10180" w:type="dxa"/>
            <w:tcBorders>
              <w:top w:val="nil"/>
              <w:left w:val="nil"/>
              <w:bottom w:val="nil"/>
              <w:right w:val="nil"/>
            </w:tcBorders>
            <w:shd w:val="clear" w:color="auto" w:fill="auto"/>
            <w:hideMark/>
          </w:tcPr>
          <w:p w14:paraId="2C58E3B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Se noti:</w:t>
            </w:r>
          </w:p>
        </w:tc>
      </w:tr>
      <w:tr w:rsidR="004C45EE" w:rsidRPr="004C45EE" w14:paraId="017A819D" w14:textId="77777777" w:rsidTr="004C45EE">
        <w:trPr>
          <w:trHeight w:val="510"/>
        </w:trPr>
        <w:tc>
          <w:tcPr>
            <w:tcW w:w="10180" w:type="dxa"/>
            <w:tcBorders>
              <w:top w:val="nil"/>
              <w:left w:val="nil"/>
              <w:bottom w:val="nil"/>
              <w:right w:val="nil"/>
            </w:tcBorders>
            <w:shd w:val="clear" w:color="auto" w:fill="auto"/>
            <w:hideMark/>
          </w:tcPr>
          <w:p w14:paraId="56B8900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il codice NUTS del luogo principale per l'esecuzione dei lavori nel caso di appalti di lavori o il codice NUTS del luogo principale di consegna o di prestazione per le forniture e i servizi;</w:t>
            </w:r>
          </w:p>
        </w:tc>
      </w:tr>
      <w:tr w:rsidR="004C45EE" w:rsidRPr="004C45EE" w14:paraId="3234E40C" w14:textId="77777777" w:rsidTr="004C45EE">
        <w:trPr>
          <w:trHeight w:val="255"/>
        </w:trPr>
        <w:tc>
          <w:tcPr>
            <w:tcW w:w="10180" w:type="dxa"/>
            <w:tcBorders>
              <w:top w:val="nil"/>
              <w:left w:val="nil"/>
              <w:bottom w:val="nil"/>
              <w:right w:val="nil"/>
            </w:tcBorders>
            <w:shd w:val="clear" w:color="auto" w:fill="auto"/>
            <w:hideMark/>
          </w:tcPr>
          <w:p w14:paraId="53CB1D6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tempi di consegna o di fornitura di beni, lavori o servizi e durata del contratto;</w:t>
            </w:r>
          </w:p>
        </w:tc>
      </w:tr>
      <w:tr w:rsidR="004C45EE" w:rsidRPr="004C45EE" w14:paraId="2EC09564" w14:textId="77777777" w:rsidTr="004C45EE">
        <w:trPr>
          <w:trHeight w:val="255"/>
        </w:trPr>
        <w:tc>
          <w:tcPr>
            <w:tcW w:w="10180" w:type="dxa"/>
            <w:tcBorders>
              <w:top w:val="nil"/>
              <w:left w:val="nil"/>
              <w:bottom w:val="nil"/>
              <w:right w:val="nil"/>
            </w:tcBorders>
            <w:shd w:val="clear" w:color="auto" w:fill="auto"/>
            <w:hideMark/>
          </w:tcPr>
          <w:p w14:paraId="321D728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condizioni di partecipazione, compreso quanto segue:</w:t>
            </w:r>
          </w:p>
        </w:tc>
      </w:tr>
      <w:tr w:rsidR="004C45EE" w:rsidRPr="004C45EE" w14:paraId="23D981EB" w14:textId="77777777" w:rsidTr="004C45EE">
        <w:trPr>
          <w:trHeight w:val="510"/>
        </w:trPr>
        <w:tc>
          <w:tcPr>
            <w:tcW w:w="10180" w:type="dxa"/>
            <w:tcBorders>
              <w:top w:val="nil"/>
              <w:left w:val="nil"/>
              <w:bottom w:val="nil"/>
              <w:right w:val="nil"/>
            </w:tcBorders>
            <w:shd w:val="clear" w:color="auto" w:fill="auto"/>
            <w:hideMark/>
          </w:tcPr>
          <w:p w14:paraId="2D2FF51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l'indicazione, eventuale, se si tratta di un appalto pubblico riservato a laboratori protetti o la cui esecuzione è riservata all'ambito di programmi di lavoro protetti,</w:t>
            </w:r>
          </w:p>
        </w:tc>
      </w:tr>
      <w:tr w:rsidR="004C45EE" w:rsidRPr="004C45EE" w14:paraId="114EE1C4" w14:textId="77777777" w:rsidTr="004C45EE">
        <w:trPr>
          <w:trHeight w:val="510"/>
        </w:trPr>
        <w:tc>
          <w:tcPr>
            <w:tcW w:w="10180" w:type="dxa"/>
            <w:tcBorders>
              <w:top w:val="nil"/>
              <w:left w:val="nil"/>
              <w:bottom w:val="nil"/>
              <w:right w:val="nil"/>
            </w:tcBorders>
            <w:shd w:val="clear" w:color="auto" w:fill="auto"/>
            <w:hideMark/>
          </w:tcPr>
          <w:p w14:paraId="6A59C7B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l'indicazione eventuale se, in forza di disposizioni legislative, regolamentari o amministrative, la prestazione del servizio sia riservata a una particolare</w:t>
            </w:r>
          </w:p>
        </w:tc>
      </w:tr>
      <w:tr w:rsidR="004C45EE" w:rsidRPr="004C45EE" w14:paraId="6B520A6E" w14:textId="77777777" w:rsidTr="004C45EE">
        <w:trPr>
          <w:trHeight w:val="255"/>
        </w:trPr>
        <w:tc>
          <w:tcPr>
            <w:tcW w:w="10180" w:type="dxa"/>
            <w:tcBorders>
              <w:top w:val="nil"/>
              <w:left w:val="nil"/>
              <w:bottom w:val="nil"/>
              <w:right w:val="nil"/>
            </w:tcBorders>
            <w:shd w:val="clear" w:color="auto" w:fill="auto"/>
            <w:hideMark/>
          </w:tcPr>
          <w:p w14:paraId="1A37D77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professione;</w:t>
            </w:r>
          </w:p>
        </w:tc>
      </w:tr>
      <w:tr w:rsidR="004C45EE" w:rsidRPr="004C45EE" w14:paraId="1EEECF2A" w14:textId="77777777" w:rsidTr="004C45EE">
        <w:trPr>
          <w:trHeight w:val="255"/>
        </w:trPr>
        <w:tc>
          <w:tcPr>
            <w:tcW w:w="10180" w:type="dxa"/>
            <w:tcBorders>
              <w:top w:val="nil"/>
              <w:left w:val="nil"/>
              <w:bottom w:val="nil"/>
              <w:right w:val="nil"/>
            </w:tcBorders>
            <w:shd w:val="clear" w:color="auto" w:fill="auto"/>
            <w:hideMark/>
          </w:tcPr>
          <w:p w14:paraId="4567171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 una breve descrizione delle caratteristiche principali della procedura di aggiudicazione.</w:t>
            </w:r>
          </w:p>
        </w:tc>
      </w:tr>
      <w:tr w:rsidR="004C45EE" w:rsidRPr="004C45EE" w14:paraId="4DA09940" w14:textId="77777777" w:rsidTr="004C45EE">
        <w:trPr>
          <w:trHeight w:val="765"/>
        </w:trPr>
        <w:tc>
          <w:tcPr>
            <w:tcW w:w="10180" w:type="dxa"/>
            <w:tcBorders>
              <w:top w:val="nil"/>
              <w:left w:val="nil"/>
              <w:bottom w:val="nil"/>
              <w:right w:val="nil"/>
            </w:tcBorders>
            <w:shd w:val="clear" w:color="auto" w:fill="auto"/>
            <w:hideMark/>
          </w:tcPr>
          <w:p w14:paraId="4A8E3C0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Indicazione del fatto che gli operatori economici interessati devono far conoscere alla stazione appaltante il loro interesse per l'appalto o gli appalti, dei termini per la ricezione delle manifestazioni d'interesse e dell'indirizzo cui devono essere trasmesse le manifestazioni d'interesse.</w:t>
            </w:r>
          </w:p>
        </w:tc>
      </w:tr>
      <w:tr w:rsidR="004C45EE" w:rsidRPr="004C45EE" w14:paraId="739A000C" w14:textId="77777777" w:rsidTr="004C45EE">
        <w:trPr>
          <w:trHeight w:val="510"/>
        </w:trPr>
        <w:tc>
          <w:tcPr>
            <w:tcW w:w="10180" w:type="dxa"/>
            <w:tcBorders>
              <w:top w:val="nil"/>
              <w:left w:val="nil"/>
              <w:bottom w:val="nil"/>
              <w:right w:val="nil"/>
            </w:tcBorders>
            <w:shd w:val="clear" w:color="auto" w:fill="auto"/>
            <w:hideMark/>
          </w:tcPr>
          <w:p w14:paraId="25241082"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G – INFORMAZIONI CHE DEVONO FIGURARE NEGLI AVVISI DI AGGIUDICAZIONE PER GLI APPALTI DI SERVIZI SOCIALI E DI ALTRI</w:t>
            </w:r>
          </w:p>
        </w:tc>
      </w:tr>
      <w:tr w:rsidR="004C45EE" w:rsidRPr="004C45EE" w14:paraId="1807DE3D" w14:textId="77777777" w:rsidTr="004C45EE">
        <w:trPr>
          <w:trHeight w:val="255"/>
        </w:trPr>
        <w:tc>
          <w:tcPr>
            <w:tcW w:w="10180" w:type="dxa"/>
            <w:tcBorders>
              <w:top w:val="nil"/>
              <w:left w:val="nil"/>
              <w:bottom w:val="nil"/>
              <w:right w:val="nil"/>
            </w:tcBorders>
            <w:shd w:val="clear" w:color="auto" w:fill="auto"/>
            <w:hideMark/>
          </w:tcPr>
          <w:p w14:paraId="7600CEBB"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SERVIZI SPECIFICI (di cui all’articolo 127, comma 3)</w:t>
            </w:r>
          </w:p>
        </w:tc>
      </w:tr>
      <w:tr w:rsidR="004C45EE" w:rsidRPr="004C45EE" w14:paraId="7E59B029" w14:textId="77777777" w:rsidTr="004C45EE">
        <w:trPr>
          <w:trHeight w:val="510"/>
        </w:trPr>
        <w:tc>
          <w:tcPr>
            <w:tcW w:w="10180" w:type="dxa"/>
            <w:tcBorders>
              <w:top w:val="nil"/>
              <w:left w:val="nil"/>
              <w:bottom w:val="nil"/>
              <w:right w:val="nil"/>
            </w:tcBorders>
            <w:shd w:val="clear" w:color="auto" w:fill="auto"/>
            <w:hideMark/>
          </w:tcPr>
          <w:p w14:paraId="00E578D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indirizzo comprensivo di codice NUTS, posta elettronica e indirizzo Internet della stazione appaltante.</w:t>
            </w:r>
          </w:p>
        </w:tc>
      </w:tr>
      <w:tr w:rsidR="004C45EE" w:rsidRPr="004C45EE" w14:paraId="0315066D" w14:textId="77777777" w:rsidTr="004C45EE">
        <w:trPr>
          <w:trHeight w:val="255"/>
        </w:trPr>
        <w:tc>
          <w:tcPr>
            <w:tcW w:w="10180" w:type="dxa"/>
            <w:tcBorders>
              <w:top w:val="nil"/>
              <w:left w:val="nil"/>
              <w:bottom w:val="nil"/>
              <w:right w:val="nil"/>
            </w:tcBorders>
            <w:shd w:val="clear" w:color="auto" w:fill="auto"/>
            <w:hideMark/>
          </w:tcPr>
          <w:p w14:paraId="51C80FD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Breve descrizione del contratto in questione, compresi i codici CPV.</w:t>
            </w:r>
          </w:p>
        </w:tc>
      </w:tr>
      <w:tr w:rsidR="004C45EE" w:rsidRPr="004C45EE" w14:paraId="2CF05BF4" w14:textId="77777777" w:rsidTr="004C45EE">
        <w:trPr>
          <w:trHeight w:val="510"/>
        </w:trPr>
        <w:tc>
          <w:tcPr>
            <w:tcW w:w="10180" w:type="dxa"/>
            <w:tcBorders>
              <w:top w:val="nil"/>
              <w:left w:val="nil"/>
              <w:bottom w:val="nil"/>
              <w:right w:val="nil"/>
            </w:tcBorders>
            <w:shd w:val="clear" w:color="auto" w:fill="auto"/>
            <w:hideMark/>
          </w:tcPr>
          <w:p w14:paraId="58A42A1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Il codice NUTS del luogo principale per l'esecuzione dei lavori nel caso di lavori o il codice NUTS del luogo principale di consegna o di prestazione per le forniture e i servizi.</w:t>
            </w:r>
          </w:p>
        </w:tc>
      </w:tr>
      <w:tr w:rsidR="004C45EE" w:rsidRPr="004C45EE" w14:paraId="6DF26C30" w14:textId="77777777" w:rsidTr="004C45EE">
        <w:trPr>
          <w:trHeight w:val="255"/>
        </w:trPr>
        <w:tc>
          <w:tcPr>
            <w:tcW w:w="10180" w:type="dxa"/>
            <w:tcBorders>
              <w:top w:val="nil"/>
              <w:left w:val="nil"/>
              <w:bottom w:val="nil"/>
              <w:right w:val="nil"/>
            </w:tcBorders>
            <w:shd w:val="clear" w:color="auto" w:fill="auto"/>
            <w:hideMark/>
          </w:tcPr>
          <w:p w14:paraId="1C0459B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Numero di offerte ricevute.</w:t>
            </w:r>
          </w:p>
        </w:tc>
      </w:tr>
      <w:tr w:rsidR="004C45EE" w:rsidRPr="004C45EE" w14:paraId="4F27DD1B" w14:textId="77777777" w:rsidTr="004C45EE">
        <w:trPr>
          <w:trHeight w:val="255"/>
        </w:trPr>
        <w:tc>
          <w:tcPr>
            <w:tcW w:w="10180" w:type="dxa"/>
            <w:tcBorders>
              <w:top w:val="nil"/>
              <w:left w:val="nil"/>
              <w:bottom w:val="nil"/>
              <w:right w:val="nil"/>
            </w:tcBorders>
            <w:shd w:val="clear" w:color="auto" w:fill="auto"/>
            <w:hideMark/>
          </w:tcPr>
          <w:p w14:paraId="082D5BD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Prezzo o gamma di prezzi (minimo/massimo) pagati.</w:t>
            </w:r>
          </w:p>
        </w:tc>
      </w:tr>
      <w:tr w:rsidR="004C45EE" w:rsidRPr="004C45EE" w14:paraId="6838596F" w14:textId="77777777" w:rsidTr="004C45EE">
        <w:trPr>
          <w:trHeight w:val="510"/>
        </w:trPr>
        <w:tc>
          <w:tcPr>
            <w:tcW w:w="10180" w:type="dxa"/>
            <w:tcBorders>
              <w:top w:val="nil"/>
              <w:left w:val="nil"/>
              <w:bottom w:val="nil"/>
              <w:right w:val="nil"/>
            </w:tcBorders>
            <w:shd w:val="clear" w:color="auto" w:fill="auto"/>
            <w:hideMark/>
          </w:tcPr>
          <w:p w14:paraId="475A248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Per ciascuna aggiudicazione: nome, indirizzo comprensivo di codice NUTS, posta elettronica e indirizzo Internet dell'aggiudicatario o degli aggiudicatari.</w:t>
            </w:r>
          </w:p>
        </w:tc>
      </w:tr>
      <w:tr w:rsidR="004C45EE" w:rsidRPr="004C45EE" w14:paraId="2CF58978" w14:textId="77777777" w:rsidTr="004C45EE">
        <w:trPr>
          <w:trHeight w:val="255"/>
        </w:trPr>
        <w:tc>
          <w:tcPr>
            <w:tcW w:w="10180" w:type="dxa"/>
            <w:tcBorders>
              <w:top w:val="nil"/>
              <w:left w:val="nil"/>
              <w:bottom w:val="nil"/>
              <w:right w:val="nil"/>
            </w:tcBorders>
            <w:shd w:val="clear" w:color="auto" w:fill="auto"/>
            <w:hideMark/>
          </w:tcPr>
          <w:p w14:paraId="54CBE3F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Altre eventuali informazioni.</w:t>
            </w:r>
          </w:p>
        </w:tc>
      </w:tr>
      <w:tr w:rsidR="004C45EE" w:rsidRPr="004C45EE" w14:paraId="5301C450" w14:textId="77777777" w:rsidTr="004C45EE">
        <w:trPr>
          <w:trHeight w:val="255"/>
        </w:trPr>
        <w:tc>
          <w:tcPr>
            <w:tcW w:w="10180" w:type="dxa"/>
            <w:tcBorders>
              <w:top w:val="nil"/>
              <w:left w:val="nil"/>
              <w:bottom w:val="nil"/>
              <w:right w:val="nil"/>
            </w:tcBorders>
            <w:shd w:val="clear" w:color="auto" w:fill="auto"/>
            <w:hideMark/>
          </w:tcPr>
          <w:p w14:paraId="62A79B68" w14:textId="77777777" w:rsidR="004C45EE" w:rsidRPr="004C45EE" w:rsidRDefault="004C45EE" w:rsidP="004C45EE">
            <w:pPr>
              <w:shd w:val="clear" w:color="auto" w:fill="F2F2F2" w:themeFill="background1" w:themeFillShade="F2"/>
              <w:jc w:val="center"/>
              <w:rPr>
                <w:rFonts w:eastAsia="Times New Roman"/>
                <w:b/>
                <w:bCs/>
                <w:kern w:val="0"/>
                <w:sz w:val="20"/>
                <w:szCs w:val="20"/>
                <w:lang w:eastAsia="it-IT"/>
              </w:rPr>
            </w:pPr>
            <w:r w:rsidRPr="004C45EE">
              <w:rPr>
                <w:rFonts w:eastAsia="Times New Roman"/>
                <w:b/>
                <w:bCs/>
                <w:kern w:val="0"/>
                <w:sz w:val="20"/>
                <w:szCs w:val="20"/>
                <w:lang w:eastAsia="it-IT"/>
              </w:rPr>
              <w:t>PARTE II</w:t>
            </w:r>
          </w:p>
        </w:tc>
      </w:tr>
      <w:tr w:rsidR="004C45EE" w:rsidRPr="004C45EE" w14:paraId="5C770A67" w14:textId="77777777" w:rsidTr="004C45EE">
        <w:trPr>
          <w:trHeight w:val="510"/>
        </w:trPr>
        <w:tc>
          <w:tcPr>
            <w:tcW w:w="10180" w:type="dxa"/>
            <w:tcBorders>
              <w:top w:val="nil"/>
              <w:left w:val="nil"/>
              <w:bottom w:val="nil"/>
              <w:right w:val="nil"/>
            </w:tcBorders>
            <w:shd w:val="clear" w:color="auto" w:fill="auto"/>
            <w:hideMark/>
          </w:tcPr>
          <w:p w14:paraId="05D5219C" w14:textId="77777777" w:rsidR="004C45EE" w:rsidRPr="004C45EE" w:rsidRDefault="004C45EE" w:rsidP="004C45EE">
            <w:pPr>
              <w:shd w:val="clear" w:color="auto" w:fill="F2F2F2" w:themeFill="background1" w:themeFillShade="F2"/>
              <w:jc w:val="center"/>
              <w:rPr>
                <w:rFonts w:eastAsia="Times New Roman"/>
                <w:b/>
                <w:bCs/>
                <w:kern w:val="0"/>
                <w:sz w:val="20"/>
                <w:szCs w:val="20"/>
                <w:lang w:eastAsia="it-IT"/>
              </w:rPr>
            </w:pPr>
            <w:r w:rsidRPr="004C45EE">
              <w:rPr>
                <w:rFonts w:eastAsia="Times New Roman"/>
                <w:b/>
                <w:bCs/>
                <w:kern w:val="0"/>
                <w:sz w:val="20"/>
                <w:szCs w:val="20"/>
                <w:lang w:eastAsia="it-IT"/>
              </w:rPr>
              <w:t>INFORMAZIONI CHE DEVONO FIGURARE NEGLI AVVISI PERIODICI INDICATIVI, NEI BANDI E NEGLI AVVISI DI GARA NEI SETTORI SPECIALI</w:t>
            </w:r>
          </w:p>
        </w:tc>
      </w:tr>
      <w:tr w:rsidR="004C45EE" w:rsidRPr="004C45EE" w14:paraId="1B92D78D" w14:textId="77777777" w:rsidTr="004C45EE">
        <w:trPr>
          <w:trHeight w:val="255"/>
        </w:trPr>
        <w:tc>
          <w:tcPr>
            <w:tcW w:w="10180" w:type="dxa"/>
            <w:tcBorders>
              <w:top w:val="nil"/>
              <w:left w:val="nil"/>
              <w:bottom w:val="nil"/>
              <w:right w:val="nil"/>
            </w:tcBorders>
            <w:shd w:val="clear" w:color="auto" w:fill="auto"/>
            <w:hideMark/>
          </w:tcPr>
          <w:p w14:paraId="5DD6FC1D" w14:textId="77777777" w:rsidR="004C45EE" w:rsidRPr="004C45EE" w:rsidRDefault="004C45EE" w:rsidP="004C45EE">
            <w:pPr>
              <w:shd w:val="clear" w:color="auto" w:fill="F2F2F2" w:themeFill="background1" w:themeFillShade="F2"/>
              <w:jc w:val="center"/>
              <w:rPr>
                <w:rFonts w:eastAsia="Times New Roman"/>
                <w:b/>
                <w:bCs/>
                <w:kern w:val="0"/>
                <w:sz w:val="20"/>
                <w:szCs w:val="20"/>
                <w:lang w:eastAsia="it-IT"/>
              </w:rPr>
            </w:pPr>
            <w:r w:rsidRPr="004C45EE">
              <w:rPr>
                <w:rFonts w:eastAsia="Times New Roman"/>
                <w:b/>
                <w:bCs/>
                <w:kern w:val="0"/>
                <w:sz w:val="20"/>
                <w:szCs w:val="20"/>
                <w:lang w:eastAsia="it-IT"/>
              </w:rPr>
              <w:t>(articoli 153, comma 1, lettera a), 161, commi 1 e 2, 162, comma 1, 163, commi 1, 2 e 4 e 164, comma 1)</w:t>
            </w:r>
          </w:p>
        </w:tc>
      </w:tr>
      <w:tr w:rsidR="004C45EE" w:rsidRPr="004C45EE" w14:paraId="78A3E182" w14:textId="77777777" w:rsidTr="004C45EE">
        <w:trPr>
          <w:trHeight w:val="255"/>
        </w:trPr>
        <w:tc>
          <w:tcPr>
            <w:tcW w:w="10180" w:type="dxa"/>
            <w:tcBorders>
              <w:top w:val="nil"/>
              <w:left w:val="nil"/>
              <w:bottom w:val="nil"/>
              <w:right w:val="nil"/>
            </w:tcBorders>
            <w:shd w:val="clear" w:color="auto" w:fill="auto"/>
            <w:hideMark/>
          </w:tcPr>
          <w:p w14:paraId="6B640F17"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SEZIONE A – Informazioni che devono figurare in ogni caso</w:t>
            </w:r>
          </w:p>
        </w:tc>
      </w:tr>
      <w:tr w:rsidR="004C45EE" w:rsidRPr="004C45EE" w14:paraId="5CD7E700" w14:textId="77777777" w:rsidTr="004C45EE">
        <w:trPr>
          <w:trHeight w:val="765"/>
        </w:trPr>
        <w:tc>
          <w:tcPr>
            <w:tcW w:w="10180" w:type="dxa"/>
            <w:tcBorders>
              <w:top w:val="nil"/>
              <w:left w:val="nil"/>
              <w:bottom w:val="nil"/>
              <w:right w:val="nil"/>
            </w:tcBorders>
            <w:shd w:val="clear" w:color="auto" w:fill="auto"/>
            <w:hideMark/>
          </w:tcPr>
          <w:p w14:paraId="420F37A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lastRenderedPageBreak/>
              <w:t>1. Nome, numero di identificazione (ove previsto dalla legislazione nazionale), indirizzo comprensivo di codice NUTS, telefono, fax, posta elettronica e indirizzo Internet della stazione appaltante o dell’ente concedente e, se diverso, del servizio al quale rivolgersi per informazioni complementari.</w:t>
            </w:r>
          </w:p>
        </w:tc>
      </w:tr>
      <w:tr w:rsidR="004C45EE" w:rsidRPr="004C45EE" w14:paraId="7C848D9C" w14:textId="77777777" w:rsidTr="004C45EE">
        <w:trPr>
          <w:trHeight w:val="255"/>
        </w:trPr>
        <w:tc>
          <w:tcPr>
            <w:tcW w:w="10180" w:type="dxa"/>
            <w:tcBorders>
              <w:top w:val="nil"/>
              <w:left w:val="nil"/>
              <w:bottom w:val="nil"/>
              <w:right w:val="nil"/>
            </w:tcBorders>
            <w:shd w:val="clear" w:color="auto" w:fill="auto"/>
            <w:hideMark/>
          </w:tcPr>
          <w:p w14:paraId="61C5CE3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Principale attività esercitata.</w:t>
            </w:r>
          </w:p>
        </w:tc>
      </w:tr>
      <w:tr w:rsidR="004C45EE" w:rsidRPr="004C45EE" w14:paraId="2E4A354C" w14:textId="77777777" w:rsidTr="004C45EE">
        <w:trPr>
          <w:trHeight w:val="255"/>
        </w:trPr>
        <w:tc>
          <w:tcPr>
            <w:tcW w:w="10180" w:type="dxa"/>
            <w:tcBorders>
              <w:top w:val="nil"/>
              <w:left w:val="nil"/>
              <w:bottom w:val="nil"/>
              <w:right w:val="nil"/>
            </w:tcBorders>
            <w:shd w:val="clear" w:color="auto" w:fill="auto"/>
            <w:hideMark/>
          </w:tcPr>
          <w:p w14:paraId="0439890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a) Per gli appalti di forniture: natura e quantità o valore delle prestazioni o dei prodotti da fornire (codici CPV);</w:t>
            </w:r>
          </w:p>
        </w:tc>
      </w:tr>
      <w:tr w:rsidR="004C45EE" w:rsidRPr="004C45EE" w14:paraId="359E9323" w14:textId="77777777" w:rsidTr="004C45EE">
        <w:trPr>
          <w:trHeight w:val="510"/>
        </w:trPr>
        <w:tc>
          <w:tcPr>
            <w:tcW w:w="10180" w:type="dxa"/>
            <w:tcBorders>
              <w:top w:val="nil"/>
              <w:left w:val="nil"/>
              <w:bottom w:val="nil"/>
              <w:right w:val="nil"/>
            </w:tcBorders>
            <w:shd w:val="clear" w:color="auto" w:fill="auto"/>
            <w:hideMark/>
          </w:tcPr>
          <w:p w14:paraId="6FEB6C1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per gli appalti di lavori: natura ed entità delle prestazioni, caratteristiche generali dell'opera o dei lotti relativi all'opera, numero (codici CPV);</w:t>
            </w:r>
          </w:p>
        </w:tc>
      </w:tr>
      <w:tr w:rsidR="004C45EE" w:rsidRPr="004C45EE" w14:paraId="7553AA09" w14:textId="77777777" w:rsidTr="004C45EE">
        <w:trPr>
          <w:trHeight w:val="255"/>
        </w:trPr>
        <w:tc>
          <w:tcPr>
            <w:tcW w:w="10180" w:type="dxa"/>
            <w:tcBorders>
              <w:top w:val="nil"/>
              <w:left w:val="nil"/>
              <w:bottom w:val="nil"/>
              <w:right w:val="nil"/>
            </w:tcBorders>
            <w:shd w:val="clear" w:color="auto" w:fill="auto"/>
            <w:hideMark/>
          </w:tcPr>
          <w:p w14:paraId="1F7F650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per gli appalti di servizi: importo totale previsto in ciascuna delle categorie di servizi previsti (codici CPV).</w:t>
            </w:r>
          </w:p>
        </w:tc>
      </w:tr>
      <w:tr w:rsidR="004C45EE" w:rsidRPr="004C45EE" w14:paraId="49D4C1AB" w14:textId="77777777" w:rsidTr="004C45EE">
        <w:trPr>
          <w:trHeight w:val="510"/>
        </w:trPr>
        <w:tc>
          <w:tcPr>
            <w:tcW w:w="10180" w:type="dxa"/>
            <w:tcBorders>
              <w:top w:val="nil"/>
              <w:left w:val="nil"/>
              <w:bottom w:val="nil"/>
              <w:right w:val="nil"/>
            </w:tcBorders>
            <w:shd w:val="clear" w:color="auto" w:fill="auto"/>
            <w:hideMark/>
          </w:tcPr>
          <w:p w14:paraId="25AF1C1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Data di invio dell'avviso o di invio della comunicazione che annuncia la pubblicazione di tale avviso nel sito istituzionale della stazione appaltante o dell’ente concedente.</w:t>
            </w:r>
          </w:p>
        </w:tc>
      </w:tr>
      <w:tr w:rsidR="004C45EE" w:rsidRPr="004C45EE" w14:paraId="3973387A" w14:textId="77777777" w:rsidTr="004C45EE">
        <w:trPr>
          <w:trHeight w:val="255"/>
        </w:trPr>
        <w:tc>
          <w:tcPr>
            <w:tcW w:w="10180" w:type="dxa"/>
            <w:tcBorders>
              <w:top w:val="nil"/>
              <w:left w:val="nil"/>
              <w:bottom w:val="nil"/>
              <w:right w:val="nil"/>
            </w:tcBorders>
            <w:shd w:val="clear" w:color="auto" w:fill="auto"/>
            <w:hideMark/>
          </w:tcPr>
          <w:p w14:paraId="0216A2E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Altre eventuali informazioni.</w:t>
            </w:r>
          </w:p>
        </w:tc>
      </w:tr>
      <w:tr w:rsidR="004C45EE" w:rsidRPr="004C45EE" w14:paraId="07B645A7" w14:textId="77777777" w:rsidTr="004C45EE">
        <w:trPr>
          <w:trHeight w:val="510"/>
        </w:trPr>
        <w:tc>
          <w:tcPr>
            <w:tcW w:w="10180" w:type="dxa"/>
            <w:tcBorders>
              <w:top w:val="nil"/>
              <w:left w:val="nil"/>
              <w:bottom w:val="nil"/>
              <w:right w:val="nil"/>
            </w:tcBorders>
            <w:shd w:val="clear" w:color="auto" w:fill="auto"/>
            <w:hideMark/>
          </w:tcPr>
          <w:p w14:paraId="144A76A5"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SEZIONE B – Informazioni aggiuntive che devono essere fornite se l'avviso funge da mezzo di indizione di gara o consente una riduzione dei termini di</w:t>
            </w:r>
          </w:p>
        </w:tc>
      </w:tr>
      <w:tr w:rsidR="004C45EE" w:rsidRPr="004C45EE" w14:paraId="2A4AE94E" w14:textId="77777777" w:rsidTr="004C45EE">
        <w:trPr>
          <w:trHeight w:val="255"/>
        </w:trPr>
        <w:tc>
          <w:tcPr>
            <w:tcW w:w="10180" w:type="dxa"/>
            <w:tcBorders>
              <w:top w:val="nil"/>
              <w:left w:val="nil"/>
              <w:bottom w:val="nil"/>
              <w:right w:val="nil"/>
            </w:tcBorders>
            <w:shd w:val="clear" w:color="auto" w:fill="auto"/>
            <w:hideMark/>
          </w:tcPr>
          <w:p w14:paraId="769AC37F"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ricezione delle candidature o delle offerte (articolo 161, comma 2, lettere b) e c))</w:t>
            </w:r>
          </w:p>
        </w:tc>
      </w:tr>
      <w:tr w:rsidR="004C45EE" w:rsidRPr="004C45EE" w14:paraId="70FF26A3" w14:textId="77777777" w:rsidTr="004C45EE">
        <w:trPr>
          <w:trHeight w:val="510"/>
        </w:trPr>
        <w:tc>
          <w:tcPr>
            <w:tcW w:w="10180" w:type="dxa"/>
            <w:tcBorders>
              <w:top w:val="nil"/>
              <w:left w:val="nil"/>
              <w:bottom w:val="nil"/>
              <w:right w:val="nil"/>
            </w:tcBorders>
            <w:shd w:val="clear" w:color="auto" w:fill="auto"/>
            <w:hideMark/>
          </w:tcPr>
          <w:p w14:paraId="16E52D1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Indicazione del fatto che gli operatori economici interessati devono far conoscere alla stazione appaltante o all’ente concedente il loro interesse per l'appalto o gli appalti.</w:t>
            </w:r>
          </w:p>
        </w:tc>
      </w:tr>
      <w:tr w:rsidR="004C45EE" w:rsidRPr="004C45EE" w14:paraId="774089E0" w14:textId="77777777" w:rsidTr="004C45EE">
        <w:trPr>
          <w:trHeight w:val="765"/>
        </w:trPr>
        <w:tc>
          <w:tcPr>
            <w:tcW w:w="10180" w:type="dxa"/>
            <w:tcBorders>
              <w:top w:val="nil"/>
              <w:left w:val="nil"/>
              <w:bottom w:val="nil"/>
              <w:right w:val="nil"/>
            </w:tcBorders>
            <w:shd w:val="clear" w:color="auto" w:fill="auto"/>
            <w:hideMark/>
          </w:tcPr>
          <w:p w14:paraId="077A3B4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Indirizzo di posta elettronica o indirizzo Internet al quale il capitolato d'oneri e i documenti di gara saranno disponibili per l'accesso gratuito, illimitato e diretto. Se l'accesso gratuito, illimitato e diretto non è disponibile per i motivi illustrati all'articolo 159, commi 3 e 4, un'indicazione relativa alle modalità di accesso ai documenti di gara.</w:t>
            </w:r>
          </w:p>
        </w:tc>
      </w:tr>
      <w:tr w:rsidR="004C45EE" w:rsidRPr="004C45EE" w14:paraId="5EDAC62C" w14:textId="77777777" w:rsidTr="004C45EE">
        <w:trPr>
          <w:trHeight w:val="510"/>
        </w:trPr>
        <w:tc>
          <w:tcPr>
            <w:tcW w:w="10180" w:type="dxa"/>
            <w:tcBorders>
              <w:top w:val="nil"/>
              <w:left w:val="nil"/>
              <w:bottom w:val="nil"/>
              <w:right w:val="nil"/>
            </w:tcBorders>
            <w:shd w:val="clear" w:color="auto" w:fill="auto"/>
            <w:hideMark/>
          </w:tcPr>
          <w:p w14:paraId="01F63EF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Indicare eventualmente se l'appalto è riservato a laboratori protetti o se l'esecuzione è riservata nel contesto di programmi di lavoro protetti.</w:t>
            </w:r>
          </w:p>
        </w:tc>
      </w:tr>
      <w:tr w:rsidR="004C45EE" w:rsidRPr="004C45EE" w14:paraId="10B5F3A0" w14:textId="77777777" w:rsidTr="004C45EE">
        <w:trPr>
          <w:trHeight w:val="255"/>
        </w:trPr>
        <w:tc>
          <w:tcPr>
            <w:tcW w:w="10180" w:type="dxa"/>
            <w:tcBorders>
              <w:top w:val="nil"/>
              <w:left w:val="nil"/>
              <w:bottom w:val="nil"/>
              <w:right w:val="nil"/>
            </w:tcBorders>
            <w:shd w:val="clear" w:color="auto" w:fill="auto"/>
            <w:hideMark/>
          </w:tcPr>
          <w:p w14:paraId="09F17F8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9. Termine ultimo per la ricezione delle domande per ottenere un invito a presentare un'offerta o a negoziare.</w:t>
            </w:r>
          </w:p>
        </w:tc>
      </w:tr>
      <w:tr w:rsidR="004C45EE" w:rsidRPr="004C45EE" w14:paraId="2B3374ED" w14:textId="77777777" w:rsidTr="004C45EE">
        <w:trPr>
          <w:trHeight w:val="510"/>
        </w:trPr>
        <w:tc>
          <w:tcPr>
            <w:tcW w:w="10180" w:type="dxa"/>
            <w:tcBorders>
              <w:top w:val="nil"/>
              <w:left w:val="nil"/>
              <w:bottom w:val="nil"/>
              <w:right w:val="nil"/>
            </w:tcBorders>
            <w:shd w:val="clear" w:color="auto" w:fill="auto"/>
            <w:hideMark/>
          </w:tcPr>
          <w:p w14:paraId="2F50009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10. Natura e quantità dei prodotti da fornire o caratteristiche generali dell'opera o categoria del servizio e sua descrizione; indicare se si prevedono uno o più accordi</w:t>
            </w:r>
          </w:p>
        </w:tc>
      </w:tr>
      <w:tr w:rsidR="004C45EE" w:rsidRPr="004C45EE" w14:paraId="1C75730E" w14:textId="77777777" w:rsidTr="004C45EE">
        <w:trPr>
          <w:trHeight w:val="1020"/>
        </w:trPr>
        <w:tc>
          <w:tcPr>
            <w:tcW w:w="10180" w:type="dxa"/>
            <w:tcBorders>
              <w:top w:val="nil"/>
              <w:left w:val="nil"/>
              <w:bottom w:val="nil"/>
              <w:right w:val="nil"/>
            </w:tcBorders>
            <w:shd w:val="clear" w:color="auto" w:fill="auto"/>
            <w:hideMark/>
          </w:tcPr>
          <w:p w14:paraId="70197A4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quadro, precisando tra l'altro eventuali opzioni per acquisti complementari e il calendario provvisorio per esercitale tali opzioni nonché il numero di eventuali rinnovi. Nel caso di una serie di appalti rinnovabili, indicare anche il calendario provvisorio dei successivi bandi di gara. Indicare se si tratta di acquisto, locazione finanziaria, locazione, acquisto a riscatto, o di una combinazione tra tali possibilità.</w:t>
            </w:r>
          </w:p>
        </w:tc>
      </w:tr>
      <w:tr w:rsidR="004C45EE" w:rsidRPr="004C45EE" w14:paraId="7C98509A" w14:textId="77777777" w:rsidTr="004C45EE">
        <w:trPr>
          <w:trHeight w:val="765"/>
        </w:trPr>
        <w:tc>
          <w:tcPr>
            <w:tcW w:w="10180" w:type="dxa"/>
            <w:tcBorders>
              <w:top w:val="nil"/>
              <w:left w:val="nil"/>
              <w:bottom w:val="nil"/>
              <w:right w:val="nil"/>
            </w:tcBorders>
            <w:shd w:val="clear" w:color="auto" w:fill="auto"/>
            <w:hideMark/>
          </w:tcPr>
          <w:p w14:paraId="60CB917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11. Il codice NUTS del luogo principale per l'esecuzione dei lavori nel caso di appalti di lavori o il codice NUTS del luogo principale di consegna o di prestazione per gli appalti di forniture e di servizi. Se l'appalto è suddiviso in lotti, tali informazioni sono fornite per ogni lotto.</w:t>
            </w:r>
          </w:p>
        </w:tc>
      </w:tr>
      <w:tr w:rsidR="004C45EE" w:rsidRPr="004C45EE" w14:paraId="48C6D7CF" w14:textId="77777777" w:rsidTr="004C45EE">
        <w:trPr>
          <w:trHeight w:val="255"/>
        </w:trPr>
        <w:tc>
          <w:tcPr>
            <w:tcW w:w="10180" w:type="dxa"/>
            <w:tcBorders>
              <w:top w:val="nil"/>
              <w:left w:val="nil"/>
              <w:bottom w:val="nil"/>
              <w:right w:val="nil"/>
            </w:tcBorders>
            <w:shd w:val="clear" w:color="auto" w:fill="auto"/>
            <w:hideMark/>
          </w:tcPr>
          <w:p w14:paraId="7A5923F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12. Termine di consegna o di esecuzione o durata dell'appalto e, se possibile, data di inizio.</w:t>
            </w:r>
          </w:p>
        </w:tc>
      </w:tr>
      <w:tr w:rsidR="004C45EE" w:rsidRPr="004C45EE" w14:paraId="592B49B2" w14:textId="77777777" w:rsidTr="004C45EE">
        <w:trPr>
          <w:trHeight w:val="255"/>
        </w:trPr>
        <w:tc>
          <w:tcPr>
            <w:tcW w:w="10180" w:type="dxa"/>
            <w:tcBorders>
              <w:top w:val="nil"/>
              <w:left w:val="nil"/>
              <w:bottom w:val="nil"/>
              <w:right w:val="nil"/>
            </w:tcBorders>
            <w:shd w:val="clear" w:color="auto" w:fill="auto"/>
            <w:hideMark/>
          </w:tcPr>
          <w:p w14:paraId="0F5208E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13. Indirizzo cui le imprese interessate devono manifestare per iscritto il proprio interesse.</w:t>
            </w:r>
          </w:p>
        </w:tc>
      </w:tr>
      <w:tr w:rsidR="004C45EE" w:rsidRPr="004C45EE" w14:paraId="4962F5F1" w14:textId="77777777" w:rsidTr="004C45EE">
        <w:trPr>
          <w:trHeight w:val="255"/>
        </w:trPr>
        <w:tc>
          <w:tcPr>
            <w:tcW w:w="10180" w:type="dxa"/>
            <w:tcBorders>
              <w:top w:val="nil"/>
              <w:left w:val="nil"/>
              <w:bottom w:val="nil"/>
              <w:right w:val="nil"/>
            </w:tcBorders>
            <w:shd w:val="clear" w:color="auto" w:fill="auto"/>
            <w:hideMark/>
          </w:tcPr>
          <w:p w14:paraId="6CB7271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14. Termine ultimo per la ricezione delle manifestazioni d'interesse.</w:t>
            </w:r>
          </w:p>
        </w:tc>
      </w:tr>
      <w:tr w:rsidR="004C45EE" w:rsidRPr="004C45EE" w14:paraId="3BC9477B" w14:textId="77777777" w:rsidTr="004C45EE">
        <w:trPr>
          <w:trHeight w:val="255"/>
        </w:trPr>
        <w:tc>
          <w:tcPr>
            <w:tcW w:w="10180" w:type="dxa"/>
            <w:tcBorders>
              <w:top w:val="nil"/>
              <w:left w:val="nil"/>
              <w:bottom w:val="nil"/>
              <w:right w:val="nil"/>
            </w:tcBorders>
            <w:shd w:val="clear" w:color="auto" w:fill="auto"/>
            <w:hideMark/>
          </w:tcPr>
          <w:p w14:paraId="74820A1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15. Lingua o lingue autorizzate per la presentazione delle candidature o delle offerte.</w:t>
            </w:r>
          </w:p>
        </w:tc>
      </w:tr>
      <w:tr w:rsidR="004C45EE" w:rsidRPr="004C45EE" w14:paraId="1B90E526" w14:textId="77777777" w:rsidTr="004C45EE">
        <w:trPr>
          <w:trHeight w:val="255"/>
        </w:trPr>
        <w:tc>
          <w:tcPr>
            <w:tcW w:w="10180" w:type="dxa"/>
            <w:tcBorders>
              <w:top w:val="nil"/>
              <w:left w:val="nil"/>
              <w:bottom w:val="nil"/>
              <w:right w:val="nil"/>
            </w:tcBorders>
            <w:shd w:val="clear" w:color="auto" w:fill="auto"/>
            <w:hideMark/>
          </w:tcPr>
          <w:p w14:paraId="33C805B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16. Requisiti di carattere economico e tecnico, garanzie finanziarie e tecniche che i fornitori devono soddisfare.</w:t>
            </w:r>
          </w:p>
        </w:tc>
      </w:tr>
      <w:tr w:rsidR="004C45EE" w:rsidRPr="004C45EE" w14:paraId="28EEA7E9" w14:textId="77777777" w:rsidTr="004C45EE">
        <w:trPr>
          <w:trHeight w:val="255"/>
        </w:trPr>
        <w:tc>
          <w:tcPr>
            <w:tcW w:w="10180" w:type="dxa"/>
            <w:tcBorders>
              <w:top w:val="nil"/>
              <w:left w:val="nil"/>
              <w:bottom w:val="nil"/>
              <w:right w:val="nil"/>
            </w:tcBorders>
            <w:shd w:val="clear" w:color="auto" w:fill="auto"/>
            <w:hideMark/>
          </w:tcPr>
          <w:p w14:paraId="20B3B33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17. Indicare:</w:t>
            </w:r>
          </w:p>
        </w:tc>
      </w:tr>
      <w:tr w:rsidR="004C45EE" w:rsidRPr="004C45EE" w14:paraId="7D805945" w14:textId="77777777" w:rsidTr="004C45EE">
        <w:trPr>
          <w:trHeight w:val="255"/>
        </w:trPr>
        <w:tc>
          <w:tcPr>
            <w:tcW w:w="10180" w:type="dxa"/>
            <w:tcBorders>
              <w:top w:val="nil"/>
              <w:left w:val="nil"/>
              <w:bottom w:val="nil"/>
              <w:right w:val="nil"/>
            </w:tcBorders>
            <w:shd w:val="clear" w:color="auto" w:fill="auto"/>
            <w:hideMark/>
          </w:tcPr>
          <w:p w14:paraId="66AC5D3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data provvisoria, se nota, di inizio delle procedure di aggiudicazione dell'appalto o degli appalti;</w:t>
            </w:r>
          </w:p>
        </w:tc>
      </w:tr>
      <w:tr w:rsidR="004C45EE" w:rsidRPr="004C45EE" w14:paraId="1D1BD7A0" w14:textId="77777777" w:rsidTr="004C45EE">
        <w:trPr>
          <w:trHeight w:val="510"/>
        </w:trPr>
        <w:tc>
          <w:tcPr>
            <w:tcW w:w="10180" w:type="dxa"/>
            <w:tcBorders>
              <w:top w:val="nil"/>
              <w:left w:val="nil"/>
              <w:bottom w:val="nil"/>
              <w:right w:val="nil"/>
            </w:tcBorders>
            <w:shd w:val="clear" w:color="auto" w:fill="auto"/>
            <w:hideMark/>
          </w:tcPr>
          <w:p w14:paraId="3FEDB3E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tipo di procedura d'appalto (procedure ristrette, che implichino o meno un sistema dinamico di acquisizione, o procedure negoziate).</w:t>
            </w:r>
          </w:p>
        </w:tc>
      </w:tr>
      <w:tr w:rsidR="004C45EE" w:rsidRPr="004C45EE" w14:paraId="3BF4DF85" w14:textId="77777777" w:rsidTr="004C45EE">
        <w:trPr>
          <w:trHeight w:val="255"/>
        </w:trPr>
        <w:tc>
          <w:tcPr>
            <w:tcW w:w="10180" w:type="dxa"/>
            <w:tcBorders>
              <w:top w:val="nil"/>
              <w:left w:val="nil"/>
              <w:bottom w:val="nil"/>
              <w:right w:val="nil"/>
            </w:tcBorders>
            <w:shd w:val="clear" w:color="auto" w:fill="auto"/>
            <w:hideMark/>
          </w:tcPr>
          <w:p w14:paraId="502BD0C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18. Eventualmente, le condizioni particolari cui è sottoposta la realizzazione dell'appalto.</w:t>
            </w:r>
          </w:p>
        </w:tc>
      </w:tr>
      <w:tr w:rsidR="004C45EE" w:rsidRPr="004C45EE" w14:paraId="122C9CB6" w14:textId="77777777" w:rsidTr="004C45EE">
        <w:trPr>
          <w:trHeight w:val="255"/>
        </w:trPr>
        <w:tc>
          <w:tcPr>
            <w:tcW w:w="10180" w:type="dxa"/>
            <w:tcBorders>
              <w:top w:val="nil"/>
              <w:left w:val="nil"/>
              <w:bottom w:val="nil"/>
              <w:right w:val="nil"/>
            </w:tcBorders>
            <w:shd w:val="clear" w:color="auto" w:fill="auto"/>
            <w:hideMark/>
          </w:tcPr>
          <w:p w14:paraId="3C2FD5D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19. Eventualmente, indicare se:</w:t>
            </w:r>
          </w:p>
        </w:tc>
      </w:tr>
      <w:tr w:rsidR="004C45EE" w:rsidRPr="004C45EE" w14:paraId="036C4062" w14:textId="77777777" w:rsidTr="004C45EE">
        <w:trPr>
          <w:trHeight w:val="255"/>
        </w:trPr>
        <w:tc>
          <w:tcPr>
            <w:tcW w:w="10180" w:type="dxa"/>
            <w:tcBorders>
              <w:top w:val="nil"/>
              <w:left w:val="nil"/>
              <w:bottom w:val="nil"/>
              <w:right w:val="nil"/>
            </w:tcBorders>
            <w:shd w:val="clear" w:color="auto" w:fill="auto"/>
            <w:hideMark/>
          </w:tcPr>
          <w:p w14:paraId="5484BDA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la trasmissione in via elettronica delle offerte o delle domande di partecipazione è richiesta/accettata;</w:t>
            </w:r>
          </w:p>
        </w:tc>
      </w:tr>
      <w:tr w:rsidR="004C45EE" w:rsidRPr="004C45EE" w14:paraId="5D1BC8A8" w14:textId="77777777" w:rsidTr="004C45EE">
        <w:trPr>
          <w:trHeight w:val="255"/>
        </w:trPr>
        <w:tc>
          <w:tcPr>
            <w:tcW w:w="10180" w:type="dxa"/>
            <w:tcBorders>
              <w:top w:val="nil"/>
              <w:left w:val="nil"/>
              <w:bottom w:val="nil"/>
              <w:right w:val="nil"/>
            </w:tcBorders>
            <w:shd w:val="clear" w:color="auto" w:fill="auto"/>
            <w:hideMark/>
          </w:tcPr>
          <w:p w14:paraId="6AEE901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si farà ricorso all'ordinazione elettronica;</w:t>
            </w:r>
          </w:p>
        </w:tc>
      </w:tr>
      <w:tr w:rsidR="004C45EE" w:rsidRPr="004C45EE" w14:paraId="7351A78F" w14:textId="77777777" w:rsidTr="004C45EE">
        <w:trPr>
          <w:trHeight w:val="255"/>
        </w:trPr>
        <w:tc>
          <w:tcPr>
            <w:tcW w:w="10180" w:type="dxa"/>
            <w:tcBorders>
              <w:top w:val="nil"/>
              <w:left w:val="nil"/>
              <w:bottom w:val="nil"/>
              <w:right w:val="nil"/>
            </w:tcBorders>
            <w:shd w:val="clear" w:color="auto" w:fill="auto"/>
            <w:hideMark/>
          </w:tcPr>
          <w:p w14:paraId="0DEDB55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si farà ricorso alla fatturazione elettronica;</w:t>
            </w:r>
          </w:p>
        </w:tc>
      </w:tr>
      <w:tr w:rsidR="004C45EE" w:rsidRPr="004C45EE" w14:paraId="7DDFCF77" w14:textId="77777777" w:rsidTr="004C45EE">
        <w:trPr>
          <w:trHeight w:val="255"/>
        </w:trPr>
        <w:tc>
          <w:tcPr>
            <w:tcW w:w="10180" w:type="dxa"/>
            <w:tcBorders>
              <w:top w:val="nil"/>
              <w:left w:val="nil"/>
              <w:bottom w:val="nil"/>
              <w:right w:val="nil"/>
            </w:tcBorders>
            <w:shd w:val="clear" w:color="auto" w:fill="auto"/>
            <w:hideMark/>
          </w:tcPr>
          <w:p w14:paraId="1E960F9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 sarà accettato il pagamento elettronico.</w:t>
            </w:r>
          </w:p>
        </w:tc>
      </w:tr>
      <w:tr w:rsidR="004C45EE" w:rsidRPr="004C45EE" w14:paraId="0A058174" w14:textId="77777777" w:rsidTr="004C45EE">
        <w:trPr>
          <w:trHeight w:val="765"/>
        </w:trPr>
        <w:tc>
          <w:tcPr>
            <w:tcW w:w="10180" w:type="dxa"/>
            <w:tcBorders>
              <w:top w:val="nil"/>
              <w:left w:val="nil"/>
              <w:bottom w:val="nil"/>
              <w:right w:val="nil"/>
            </w:tcBorders>
            <w:shd w:val="clear" w:color="auto" w:fill="auto"/>
            <w:hideMark/>
          </w:tcPr>
          <w:p w14:paraId="0E27055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20. Denominazione e indirizzo dell'organo competente per le procedure di ricorso e, se del caso, di mediazione. Precisazioni quanto al termine per l'introduzione di ricorsi o, se necessario, denominazione, indirizzo, numero di telefono, di fax e indirizzo elettronico del servizio presso il quale l'informazione in questione può essere richiesta.</w:t>
            </w:r>
          </w:p>
        </w:tc>
      </w:tr>
      <w:tr w:rsidR="004C45EE" w:rsidRPr="004C45EE" w14:paraId="1858193D" w14:textId="77777777" w:rsidTr="004C45EE">
        <w:trPr>
          <w:trHeight w:val="765"/>
        </w:trPr>
        <w:tc>
          <w:tcPr>
            <w:tcW w:w="10180" w:type="dxa"/>
            <w:tcBorders>
              <w:top w:val="nil"/>
              <w:left w:val="nil"/>
              <w:bottom w:val="nil"/>
              <w:right w:val="nil"/>
            </w:tcBorders>
            <w:shd w:val="clear" w:color="auto" w:fill="auto"/>
            <w:hideMark/>
          </w:tcPr>
          <w:p w14:paraId="1043E94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21. Criteri, se noti, che saranno utilizzati per l'aggiudicazione dell'appalto. Salvo nel caso in cui l'offerta economicamente più vantaggiosa è individuata sulla base del solo prezzo, i criteri per determinare l'offerta economicamente più vantaggiosa nonché la ponderazione a essi attribuita o, se del caso, la gerarchia di applicazione</w:t>
            </w:r>
          </w:p>
        </w:tc>
      </w:tr>
      <w:tr w:rsidR="004C45EE" w:rsidRPr="004C45EE" w14:paraId="01033F58" w14:textId="77777777" w:rsidTr="004C45EE">
        <w:trPr>
          <w:trHeight w:val="510"/>
        </w:trPr>
        <w:tc>
          <w:tcPr>
            <w:tcW w:w="10180" w:type="dxa"/>
            <w:tcBorders>
              <w:top w:val="nil"/>
              <w:left w:val="nil"/>
              <w:bottom w:val="nil"/>
              <w:right w:val="nil"/>
            </w:tcBorders>
            <w:shd w:val="clear" w:color="auto" w:fill="auto"/>
            <w:hideMark/>
          </w:tcPr>
          <w:p w14:paraId="06CCFC9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degli stessi sono indicati qualora non figurino nel capitolato d'oneri o non ne sia previsto l'inserimento nell'invito a manifestare il proprio interesse di cui all'articolo</w:t>
            </w:r>
          </w:p>
        </w:tc>
      </w:tr>
      <w:tr w:rsidR="004C45EE" w:rsidRPr="004C45EE" w14:paraId="7DE4EDF9" w14:textId="77777777" w:rsidTr="004C45EE">
        <w:trPr>
          <w:trHeight w:val="255"/>
        </w:trPr>
        <w:tc>
          <w:tcPr>
            <w:tcW w:w="10180" w:type="dxa"/>
            <w:tcBorders>
              <w:top w:val="nil"/>
              <w:left w:val="nil"/>
              <w:bottom w:val="nil"/>
              <w:right w:val="nil"/>
            </w:tcBorders>
            <w:shd w:val="clear" w:color="auto" w:fill="auto"/>
            <w:hideMark/>
          </w:tcPr>
          <w:p w14:paraId="74A1CA9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161, comma 2, lettera b), o nell'invito a presentare un'offerta o a negoziare.</w:t>
            </w:r>
          </w:p>
        </w:tc>
      </w:tr>
      <w:tr w:rsidR="004C45EE" w:rsidRPr="004C45EE" w14:paraId="1F77F303" w14:textId="77777777" w:rsidTr="004C45EE">
        <w:trPr>
          <w:trHeight w:val="510"/>
        </w:trPr>
        <w:tc>
          <w:tcPr>
            <w:tcW w:w="10180" w:type="dxa"/>
            <w:tcBorders>
              <w:top w:val="nil"/>
              <w:left w:val="nil"/>
              <w:bottom w:val="nil"/>
              <w:right w:val="nil"/>
            </w:tcBorders>
            <w:shd w:val="clear" w:color="auto" w:fill="auto"/>
            <w:hideMark/>
          </w:tcPr>
          <w:p w14:paraId="528A51FB"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lastRenderedPageBreak/>
              <w:t>SEZIONE C – Informazioni che devono figurare negli avvisi che annunciano la pubblicazione nel sito istituzionale della stazione appaltante o dell’ente</w:t>
            </w:r>
          </w:p>
        </w:tc>
      </w:tr>
      <w:tr w:rsidR="004C45EE" w:rsidRPr="004C45EE" w14:paraId="73CBBDB7" w14:textId="77777777" w:rsidTr="004C45EE">
        <w:trPr>
          <w:trHeight w:val="510"/>
        </w:trPr>
        <w:tc>
          <w:tcPr>
            <w:tcW w:w="10180" w:type="dxa"/>
            <w:tcBorders>
              <w:top w:val="nil"/>
              <w:left w:val="nil"/>
              <w:bottom w:val="nil"/>
              <w:right w:val="nil"/>
            </w:tcBorders>
            <w:shd w:val="clear" w:color="auto" w:fill="auto"/>
            <w:hideMark/>
          </w:tcPr>
          <w:p w14:paraId="57B271FC"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concedente di un avviso periodico indicativo, che non funge da mezzo di indizione di una gara (di cui all'articolo 161, comma 1)</w:t>
            </w:r>
          </w:p>
        </w:tc>
      </w:tr>
      <w:tr w:rsidR="004C45EE" w:rsidRPr="004C45EE" w14:paraId="4F5C2365" w14:textId="77777777" w:rsidTr="004C45EE">
        <w:trPr>
          <w:trHeight w:val="765"/>
        </w:trPr>
        <w:tc>
          <w:tcPr>
            <w:tcW w:w="10180" w:type="dxa"/>
            <w:tcBorders>
              <w:top w:val="nil"/>
              <w:left w:val="nil"/>
              <w:bottom w:val="nil"/>
              <w:right w:val="nil"/>
            </w:tcBorders>
            <w:shd w:val="clear" w:color="auto" w:fill="auto"/>
            <w:hideMark/>
          </w:tcPr>
          <w:p w14:paraId="6A3A084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dalla legislazione nazionale), indirizzo comprensivo di codice NUTS, telefono, fax, posta elettronica e indirizzo Internet della stazione appaltante o dell’ente concedente e, se diverso, del servizio al quale rivolgersi per informazioni complementari.</w:t>
            </w:r>
          </w:p>
        </w:tc>
      </w:tr>
      <w:tr w:rsidR="004C45EE" w:rsidRPr="004C45EE" w14:paraId="0F214BBA" w14:textId="77777777" w:rsidTr="004C45EE">
        <w:trPr>
          <w:trHeight w:val="255"/>
        </w:trPr>
        <w:tc>
          <w:tcPr>
            <w:tcW w:w="10180" w:type="dxa"/>
            <w:tcBorders>
              <w:top w:val="nil"/>
              <w:left w:val="nil"/>
              <w:bottom w:val="nil"/>
              <w:right w:val="nil"/>
            </w:tcBorders>
            <w:shd w:val="clear" w:color="auto" w:fill="auto"/>
            <w:hideMark/>
          </w:tcPr>
          <w:p w14:paraId="1CC6BBD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Principale attività esercitata.</w:t>
            </w:r>
          </w:p>
        </w:tc>
      </w:tr>
      <w:tr w:rsidR="004C45EE" w:rsidRPr="004C45EE" w14:paraId="697FC3C3" w14:textId="77777777" w:rsidTr="004C45EE">
        <w:trPr>
          <w:trHeight w:val="255"/>
        </w:trPr>
        <w:tc>
          <w:tcPr>
            <w:tcW w:w="10180" w:type="dxa"/>
            <w:tcBorders>
              <w:top w:val="nil"/>
              <w:left w:val="nil"/>
              <w:bottom w:val="nil"/>
              <w:right w:val="nil"/>
            </w:tcBorders>
            <w:shd w:val="clear" w:color="auto" w:fill="auto"/>
            <w:hideMark/>
          </w:tcPr>
          <w:p w14:paraId="0B62D48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Codici CPV.</w:t>
            </w:r>
          </w:p>
        </w:tc>
      </w:tr>
      <w:tr w:rsidR="004C45EE" w:rsidRPr="004C45EE" w14:paraId="5FEF0C86" w14:textId="77777777" w:rsidTr="004C45EE">
        <w:trPr>
          <w:trHeight w:val="255"/>
        </w:trPr>
        <w:tc>
          <w:tcPr>
            <w:tcW w:w="10180" w:type="dxa"/>
            <w:tcBorders>
              <w:top w:val="nil"/>
              <w:left w:val="nil"/>
              <w:bottom w:val="nil"/>
              <w:right w:val="nil"/>
            </w:tcBorders>
            <w:shd w:val="clear" w:color="auto" w:fill="auto"/>
            <w:hideMark/>
          </w:tcPr>
          <w:p w14:paraId="6585FAB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Indirizzo Internet della stazione appaltante o dell’ente concedente (URL).</w:t>
            </w:r>
          </w:p>
        </w:tc>
      </w:tr>
      <w:tr w:rsidR="004C45EE" w:rsidRPr="004C45EE" w14:paraId="1F6FDA07" w14:textId="77777777" w:rsidTr="004C45EE">
        <w:trPr>
          <w:trHeight w:val="510"/>
        </w:trPr>
        <w:tc>
          <w:tcPr>
            <w:tcW w:w="10180" w:type="dxa"/>
            <w:tcBorders>
              <w:top w:val="nil"/>
              <w:left w:val="nil"/>
              <w:bottom w:val="nil"/>
              <w:right w:val="nil"/>
            </w:tcBorders>
            <w:shd w:val="clear" w:color="auto" w:fill="auto"/>
            <w:hideMark/>
          </w:tcPr>
          <w:p w14:paraId="70C061A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Data di spedizione dell'avviso di pubblicazione nel sito Internet della stazione appaltante o dell’ente concedente dell'avviso di pre-informazione.</w:t>
            </w:r>
          </w:p>
        </w:tc>
      </w:tr>
      <w:tr w:rsidR="004C45EE" w:rsidRPr="004C45EE" w14:paraId="66E546B9" w14:textId="77777777" w:rsidTr="004C45EE">
        <w:trPr>
          <w:trHeight w:val="510"/>
        </w:trPr>
        <w:tc>
          <w:tcPr>
            <w:tcW w:w="10180" w:type="dxa"/>
            <w:tcBorders>
              <w:top w:val="nil"/>
              <w:left w:val="nil"/>
              <w:bottom w:val="nil"/>
              <w:right w:val="nil"/>
            </w:tcBorders>
            <w:shd w:val="clear" w:color="auto" w:fill="auto"/>
            <w:hideMark/>
          </w:tcPr>
          <w:p w14:paraId="210C1097"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SEZIONE D – Informazioni che devono figurare nei bandi e negli avvisi di gara per l'aggiudicazione degli appalti in caso di procedure aperte (di cui</w:t>
            </w:r>
          </w:p>
        </w:tc>
      </w:tr>
      <w:tr w:rsidR="004C45EE" w:rsidRPr="004C45EE" w14:paraId="483BB06D" w14:textId="77777777" w:rsidTr="004C45EE">
        <w:trPr>
          <w:trHeight w:val="255"/>
        </w:trPr>
        <w:tc>
          <w:tcPr>
            <w:tcW w:w="10180" w:type="dxa"/>
            <w:tcBorders>
              <w:top w:val="nil"/>
              <w:left w:val="nil"/>
              <w:bottom w:val="nil"/>
              <w:right w:val="nil"/>
            </w:tcBorders>
            <w:shd w:val="clear" w:color="auto" w:fill="auto"/>
            <w:hideMark/>
          </w:tcPr>
          <w:p w14:paraId="04D70732"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all'articolo 155, comma 1)</w:t>
            </w:r>
          </w:p>
        </w:tc>
      </w:tr>
      <w:tr w:rsidR="004C45EE" w:rsidRPr="004C45EE" w14:paraId="62875176" w14:textId="77777777" w:rsidTr="004C45EE">
        <w:trPr>
          <w:trHeight w:val="765"/>
        </w:trPr>
        <w:tc>
          <w:tcPr>
            <w:tcW w:w="10180" w:type="dxa"/>
            <w:tcBorders>
              <w:top w:val="nil"/>
              <w:left w:val="nil"/>
              <w:bottom w:val="nil"/>
              <w:right w:val="nil"/>
            </w:tcBorders>
            <w:shd w:val="clear" w:color="auto" w:fill="auto"/>
            <w:hideMark/>
          </w:tcPr>
          <w:p w14:paraId="34EC265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indirizzo comprensivo di codice NUTS, telefono, fax, posta elettronica e indirizzo Internet della stazione appaltante o dell’ente concedente e, se diverso, del servizio al quale rivolgersi per informazioni complementari.</w:t>
            </w:r>
          </w:p>
        </w:tc>
      </w:tr>
      <w:tr w:rsidR="004C45EE" w:rsidRPr="004C45EE" w14:paraId="30162B72" w14:textId="77777777" w:rsidTr="004C45EE">
        <w:trPr>
          <w:trHeight w:val="255"/>
        </w:trPr>
        <w:tc>
          <w:tcPr>
            <w:tcW w:w="10180" w:type="dxa"/>
            <w:tcBorders>
              <w:top w:val="nil"/>
              <w:left w:val="nil"/>
              <w:bottom w:val="nil"/>
              <w:right w:val="nil"/>
            </w:tcBorders>
            <w:shd w:val="clear" w:color="auto" w:fill="auto"/>
            <w:hideMark/>
          </w:tcPr>
          <w:p w14:paraId="7C4CF9C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Principale attività esercitata.</w:t>
            </w:r>
          </w:p>
        </w:tc>
      </w:tr>
      <w:tr w:rsidR="004C45EE" w:rsidRPr="004C45EE" w14:paraId="15EB5B16" w14:textId="77777777" w:rsidTr="004C45EE">
        <w:trPr>
          <w:trHeight w:val="510"/>
        </w:trPr>
        <w:tc>
          <w:tcPr>
            <w:tcW w:w="10180" w:type="dxa"/>
            <w:tcBorders>
              <w:top w:val="nil"/>
              <w:left w:val="nil"/>
              <w:bottom w:val="nil"/>
              <w:right w:val="nil"/>
            </w:tcBorders>
            <w:shd w:val="clear" w:color="auto" w:fill="auto"/>
            <w:hideMark/>
          </w:tcPr>
          <w:p w14:paraId="5D8D6F1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Indicare eventualmente se l'appalto è riservato a laboratori protetti o se l'esecuzione è riservata nel contesto di programmi di lavoro protetti.</w:t>
            </w:r>
          </w:p>
        </w:tc>
      </w:tr>
      <w:tr w:rsidR="004C45EE" w:rsidRPr="004C45EE" w14:paraId="30A47685" w14:textId="77777777" w:rsidTr="004C45EE">
        <w:trPr>
          <w:trHeight w:val="765"/>
        </w:trPr>
        <w:tc>
          <w:tcPr>
            <w:tcW w:w="10180" w:type="dxa"/>
            <w:tcBorders>
              <w:top w:val="nil"/>
              <w:left w:val="nil"/>
              <w:bottom w:val="nil"/>
              <w:right w:val="nil"/>
            </w:tcBorders>
            <w:shd w:val="clear" w:color="auto" w:fill="auto"/>
            <w:hideMark/>
          </w:tcPr>
          <w:p w14:paraId="0112286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Tipo di appalto (forniture, lavori o servizi; indicare eventualmente se si tratta di un accordo-quadro o di un sistema dinamico di acquisizione), descrizione (codici CPV). Indicare eventualmente se le offerte sollecitate lo sono a fini di acquisto, di locazione finanziaria, di locazione, di acquisto a riscatto o di una combinazione tra queste possibilità.</w:t>
            </w:r>
          </w:p>
        </w:tc>
      </w:tr>
      <w:tr w:rsidR="004C45EE" w:rsidRPr="004C45EE" w14:paraId="78E1B599" w14:textId="77777777" w:rsidTr="004C45EE">
        <w:trPr>
          <w:trHeight w:val="510"/>
        </w:trPr>
        <w:tc>
          <w:tcPr>
            <w:tcW w:w="10180" w:type="dxa"/>
            <w:tcBorders>
              <w:top w:val="nil"/>
              <w:left w:val="nil"/>
              <w:bottom w:val="nil"/>
              <w:right w:val="nil"/>
            </w:tcBorders>
            <w:shd w:val="clear" w:color="auto" w:fill="auto"/>
            <w:hideMark/>
          </w:tcPr>
          <w:p w14:paraId="30639F4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Il codice NUTS del luogo principale per l'esecuzione dei lavori nel caso di appalti di lavori o il codice NUTS del luogo principale di consegna o di prestazione per gli appalti di forniture e di servizi.</w:t>
            </w:r>
          </w:p>
        </w:tc>
      </w:tr>
      <w:tr w:rsidR="004C45EE" w:rsidRPr="004C45EE" w14:paraId="64B2660E" w14:textId="77777777" w:rsidTr="004C45EE">
        <w:trPr>
          <w:trHeight w:val="255"/>
        </w:trPr>
        <w:tc>
          <w:tcPr>
            <w:tcW w:w="10180" w:type="dxa"/>
            <w:tcBorders>
              <w:top w:val="nil"/>
              <w:left w:val="nil"/>
              <w:bottom w:val="nil"/>
              <w:right w:val="nil"/>
            </w:tcBorders>
            <w:shd w:val="clear" w:color="auto" w:fill="auto"/>
            <w:hideMark/>
          </w:tcPr>
          <w:p w14:paraId="0600B87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Per le forniture e i lavori:</w:t>
            </w:r>
          </w:p>
        </w:tc>
      </w:tr>
      <w:tr w:rsidR="004C45EE" w:rsidRPr="004C45EE" w14:paraId="08ECDEA0" w14:textId="77777777" w:rsidTr="004C45EE">
        <w:trPr>
          <w:trHeight w:val="510"/>
        </w:trPr>
        <w:tc>
          <w:tcPr>
            <w:tcW w:w="10180" w:type="dxa"/>
            <w:tcBorders>
              <w:top w:val="nil"/>
              <w:left w:val="nil"/>
              <w:bottom w:val="nil"/>
              <w:right w:val="nil"/>
            </w:tcBorders>
            <w:shd w:val="clear" w:color="auto" w:fill="auto"/>
            <w:hideMark/>
          </w:tcPr>
          <w:p w14:paraId="2B020E5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natura e quantità dei prodotti da fornire (codici CPV). Indicare tra l'altro eventuali opzioni relative ad acquisti complementari e, se possibile, il termine previsto</w:t>
            </w:r>
          </w:p>
        </w:tc>
      </w:tr>
      <w:tr w:rsidR="004C45EE" w:rsidRPr="004C45EE" w14:paraId="6BA37C86" w14:textId="77777777" w:rsidTr="004C45EE">
        <w:trPr>
          <w:trHeight w:val="765"/>
        </w:trPr>
        <w:tc>
          <w:tcPr>
            <w:tcW w:w="10180" w:type="dxa"/>
            <w:tcBorders>
              <w:top w:val="nil"/>
              <w:left w:val="nil"/>
              <w:bottom w:val="nil"/>
              <w:right w:val="nil"/>
            </w:tcBorders>
            <w:shd w:val="clear" w:color="auto" w:fill="auto"/>
            <w:hideMark/>
          </w:tcPr>
          <w:p w14:paraId="02254A6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per esercitare tali opzioni nonché il numero di eventuali rinnovi. Nel caso di appalti rinnovabili, indicare anche, se possibile, un calendario provvisorio dei successivi bandi di gara per i prodotti richiesti o la natura e l'entità delle prestazioni, nonché le caratteristiche generali dell'opera (codici CPV);</w:t>
            </w:r>
          </w:p>
        </w:tc>
      </w:tr>
      <w:tr w:rsidR="004C45EE" w:rsidRPr="004C45EE" w14:paraId="147BBBC0" w14:textId="77777777" w:rsidTr="004C45EE">
        <w:trPr>
          <w:trHeight w:val="765"/>
        </w:trPr>
        <w:tc>
          <w:tcPr>
            <w:tcW w:w="10180" w:type="dxa"/>
            <w:tcBorders>
              <w:top w:val="nil"/>
              <w:left w:val="nil"/>
              <w:bottom w:val="nil"/>
              <w:right w:val="nil"/>
            </w:tcBorders>
            <w:shd w:val="clear" w:color="auto" w:fill="auto"/>
            <w:hideMark/>
          </w:tcPr>
          <w:p w14:paraId="79ED023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indicazioni relative alla possibilità, per i fornitori, di presentare offerte per tutti i prodotti richiesti o per parte di essi. Per gli appalti di lavori, se l'opera o l'appalto è suddiviso in più lotti, l'ordine di grandezza dei vari lotti e la possibilità di presentare offerte per uno, per più o per tutti i lotti;</w:t>
            </w:r>
          </w:p>
        </w:tc>
      </w:tr>
      <w:tr w:rsidR="004C45EE" w:rsidRPr="004C45EE" w14:paraId="13939348" w14:textId="77777777" w:rsidTr="004C45EE">
        <w:trPr>
          <w:trHeight w:val="510"/>
        </w:trPr>
        <w:tc>
          <w:tcPr>
            <w:tcW w:w="10180" w:type="dxa"/>
            <w:tcBorders>
              <w:top w:val="nil"/>
              <w:left w:val="nil"/>
              <w:bottom w:val="nil"/>
              <w:right w:val="nil"/>
            </w:tcBorders>
            <w:shd w:val="clear" w:color="auto" w:fill="auto"/>
            <w:hideMark/>
          </w:tcPr>
          <w:p w14:paraId="69DE634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per gli appalti di lavori: informazioni sull'obiettivo dell'opera o dell'appalto, quando quest'ultimo comporti anche l'elaborazione di progetti.</w:t>
            </w:r>
          </w:p>
        </w:tc>
      </w:tr>
      <w:tr w:rsidR="004C45EE" w:rsidRPr="004C45EE" w14:paraId="6F13E759" w14:textId="77777777" w:rsidTr="004C45EE">
        <w:trPr>
          <w:trHeight w:val="255"/>
        </w:trPr>
        <w:tc>
          <w:tcPr>
            <w:tcW w:w="10180" w:type="dxa"/>
            <w:tcBorders>
              <w:top w:val="nil"/>
              <w:left w:val="nil"/>
              <w:bottom w:val="nil"/>
              <w:right w:val="nil"/>
            </w:tcBorders>
            <w:shd w:val="clear" w:color="auto" w:fill="auto"/>
            <w:hideMark/>
          </w:tcPr>
          <w:p w14:paraId="1F85E7A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Per i servizi:</w:t>
            </w:r>
          </w:p>
        </w:tc>
      </w:tr>
      <w:tr w:rsidR="004C45EE" w:rsidRPr="004C45EE" w14:paraId="1BDBCAF4" w14:textId="77777777" w:rsidTr="004C45EE">
        <w:trPr>
          <w:trHeight w:val="1020"/>
        </w:trPr>
        <w:tc>
          <w:tcPr>
            <w:tcW w:w="10180" w:type="dxa"/>
            <w:tcBorders>
              <w:top w:val="nil"/>
              <w:left w:val="nil"/>
              <w:bottom w:val="nil"/>
              <w:right w:val="nil"/>
            </w:tcBorders>
            <w:shd w:val="clear" w:color="auto" w:fill="auto"/>
            <w:hideMark/>
          </w:tcPr>
          <w:p w14:paraId="699F35B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natura e quantità dei servizi da fornire. Indicare tra l'altro eventuali opzioni relative ad acquisti complementari e, se possibile, il termine previsto per esercitare tali opzioni nonché il numero di eventuali rinnovi. Nel caso di una serie di appalti rinnovabili, indicare anche, se possibile, un calendario provvisorio dei successivi bandi di gara per i servizi richiesti;</w:t>
            </w:r>
          </w:p>
        </w:tc>
      </w:tr>
      <w:tr w:rsidR="004C45EE" w:rsidRPr="004C45EE" w14:paraId="26947522" w14:textId="77777777" w:rsidTr="004C45EE">
        <w:trPr>
          <w:trHeight w:val="510"/>
        </w:trPr>
        <w:tc>
          <w:tcPr>
            <w:tcW w:w="10180" w:type="dxa"/>
            <w:tcBorders>
              <w:top w:val="nil"/>
              <w:left w:val="nil"/>
              <w:bottom w:val="nil"/>
              <w:right w:val="nil"/>
            </w:tcBorders>
            <w:shd w:val="clear" w:color="auto" w:fill="auto"/>
            <w:hideMark/>
          </w:tcPr>
          <w:p w14:paraId="5A05AB9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indicare se, in forza di disposizioni legislative, regolamentari o amministrative, la prestazione del servizio sia riservata a una particolare professione;</w:t>
            </w:r>
          </w:p>
        </w:tc>
      </w:tr>
      <w:tr w:rsidR="004C45EE" w:rsidRPr="004C45EE" w14:paraId="458DC8FD" w14:textId="77777777" w:rsidTr="004C45EE">
        <w:trPr>
          <w:trHeight w:val="255"/>
        </w:trPr>
        <w:tc>
          <w:tcPr>
            <w:tcW w:w="10180" w:type="dxa"/>
            <w:tcBorders>
              <w:top w:val="nil"/>
              <w:left w:val="nil"/>
              <w:bottom w:val="nil"/>
              <w:right w:val="nil"/>
            </w:tcBorders>
            <w:shd w:val="clear" w:color="auto" w:fill="auto"/>
            <w:hideMark/>
          </w:tcPr>
          <w:p w14:paraId="285E527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riferimenti a disposizioni legislative, regolamentari o amministrative;</w:t>
            </w:r>
          </w:p>
        </w:tc>
      </w:tr>
      <w:tr w:rsidR="004C45EE" w:rsidRPr="004C45EE" w14:paraId="0621DAF4" w14:textId="77777777" w:rsidTr="004C45EE">
        <w:trPr>
          <w:trHeight w:val="510"/>
        </w:trPr>
        <w:tc>
          <w:tcPr>
            <w:tcW w:w="10180" w:type="dxa"/>
            <w:tcBorders>
              <w:top w:val="nil"/>
              <w:left w:val="nil"/>
              <w:bottom w:val="nil"/>
              <w:right w:val="nil"/>
            </w:tcBorders>
            <w:shd w:val="clear" w:color="auto" w:fill="auto"/>
            <w:hideMark/>
          </w:tcPr>
          <w:p w14:paraId="6B64692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 indicare se le persone giuridiche sono tenute a indicare il nome e le qualifiche professionali del personale incaricato della prestazione del servizio;</w:t>
            </w:r>
          </w:p>
        </w:tc>
      </w:tr>
      <w:tr w:rsidR="004C45EE" w:rsidRPr="004C45EE" w14:paraId="3F253F20" w14:textId="77777777" w:rsidTr="004C45EE">
        <w:trPr>
          <w:trHeight w:val="255"/>
        </w:trPr>
        <w:tc>
          <w:tcPr>
            <w:tcW w:w="10180" w:type="dxa"/>
            <w:tcBorders>
              <w:top w:val="nil"/>
              <w:left w:val="nil"/>
              <w:bottom w:val="nil"/>
              <w:right w:val="nil"/>
            </w:tcBorders>
            <w:shd w:val="clear" w:color="auto" w:fill="auto"/>
            <w:hideMark/>
          </w:tcPr>
          <w:p w14:paraId="5BD96C8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e) indicare se i prestatori possono presentare offerte per una parte dei servizi in questione.</w:t>
            </w:r>
          </w:p>
        </w:tc>
      </w:tr>
      <w:tr w:rsidR="004C45EE" w:rsidRPr="004C45EE" w14:paraId="2245E03C" w14:textId="77777777" w:rsidTr="004C45EE">
        <w:trPr>
          <w:trHeight w:val="255"/>
        </w:trPr>
        <w:tc>
          <w:tcPr>
            <w:tcW w:w="10180" w:type="dxa"/>
            <w:tcBorders>
              <w:top w:val="nil"/>
              <w:left w:val="nil"/>
              <w:bottom w:val="nil"/>
              <w:right w:val="nil"/>
            </w:tcBorders>
            <w:shd w:val="clear" w:color="auto" w:fill="auto"/>
            <w:hideMark/>
          </w:tcPr>
          <w:p w14:paraId="12F37E6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Indicare, se noto, se la presentazione di varianti è autorizzata o meno.</w:t>
            </w:r>
          </w:p>
        </w:tc>
      </w:tr>
      <w:tr w:rsidR="004C45EE" w:rsidRPr="004C45EE" w14:paraId="4BAEE2C1" w14:textId="77777777" w:rsidTr="004C45EE">
        <w:trPr>
          <w:trHeight w:val="255"/>
        </w:trPr>
        <w:tc>
          <w:tcPr>
            <w:tcW w:w="10180" w:type="dxa"/>
            <w:tcBorders>
              <w:top w:val="nil"/>
              <w:left w:val="nil"/>
              <w:bottom w:val="nil"/>
              <w:right w:val="nil"/>
            </w:tcBorders>
            <w:shd w:val="clear" w:color="auto" w:fill="auto"/>
            <w:hideMark/>
          </w:tcPr>
          <w:p w14:paraId="6DB81FF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9. Termine di consegna o di esecuzione o durata dell'appalto di servizi e, se possibile, data di inizio.</w:t>
            </w:r>
          </w:p>
        </w:tc>
      </w:tr>
      <w:tr w:rsidR="004C45EE" w:rsidRPr="004C45EE" w14:paraId="53696973" w14:textId="77777777" w:rsidTr="004C45EE">
        <w:trPr>
          <w:trHeight w:val="765"/>
        </w:trPr>
        <w:tc>
          <w:tcPr>
            <w:tcW w:w="10180" w:type="dxa"/>
            <w:tcBorders>
              <w:top w:val="nil"/>
              <w:left w:val="nil"/>
              <w:bottom w:val="nil"/>
              <w:right w:val="nil"/>
            </w:tcBorders>
            <w:shd w:val="clear" w:color="auto" w:fill="auto"/>
            <w:hideMark/>
          </w:tcPr>
          <w:p w14:paraId="0F3DDD8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10. Indirizzo di posta elettronica o indirizzo Internet al quale i documenti di gara saranno disponibili per l'accesso gratuito, illimitato e diretto. Se l'accesso gratuito, illimitato e diretto non è disponibile per i motivi illustrati all'articolo 88, commi 2 e 3, un'indicazione relativa alle modalità di accesso ai documenti di gara.</w:t>
            </w:r>
          </w:p>
        </w:tc>
      </w:tr>
      <w:tr w:rsidR="004C45EE" w:rsidRPr="004C45EE" w14:paraId="15EB34E1" w14:textId="77777777" w:rsidTr="004C45EE">
        <w:trPr>
          <w:trHeight w:val="255"/>
        </w:trPr>
        <w:tc>
          <w:tcPr>
            <w:tcW w:w="10180" w:type="dxa"/>
            <w:tcBorders>
              <w:top w:val="nil"/>
              <w:left w:val="nil"/>
              <w:bottom w:val="nil"/>
              <w:right w:val="nil"/>
            </w:tcBorders>
            <w:shd w:val="clear" w:color="auto" w:fill="auto"/>
            <w:hideMark/>
          </w:tcPr>
          <w:p w14:paraId="0DFF4AF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11. Indicare:</w:t>
            </w:r>
          </w:p>
        </w:tc>
      </w:tr>
      <w:tr w:rsidR="004C45EE" w:rsidRPr="004C45EE" w14:paraId="092B1CE5" w14:textId="77777777" w:rsidTr="004C45EE">
        <w:trPr>
          <w:trHeight w:val="510"/>
        </w:trPr>
        <w:tc>
          <w:tcPr>
            <w:tcW w:w="10180" w:type="dxa"/>
            <w:tcBorders>
              <w:top w:val="nil"/>
              <w:left w:val="nil"/>
              <w:bottom w:val="nil"/>
              <w:right w:val="nil"/>
            </w:tcBorders>
            <w:shd w:val="clear" w:color="auto" w:fill="auto"/>
            <w:hideMark/>
          </w:tcPr>
          <w:p w14:paraId="7B58651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termine ultimo per la ricezione delle offerte o delle offerte indicative quando si tratta di un sistema di acquisizione dinamico;</w:t>
            </w:r>
          </w:p>
        </w:tc>
      </w:tr>
      <w:tr w:rsidR="004C45EE" w:rsidRPr="004C45EE" w14:paraId="5E2FFA9F" w14:textId="77777777" w:rsidTr="004C45EE">
        <w:trPr>
          <w:trHeight w:val="255"/>
        </w:trPr>
        <w:tc>
          <w:tcPr>
            <w:tcW w:w="10180" w:type="dxa"/>
            <w:tcBorders>
              <w:top w:val="nil"/>
              <w:left w:val="nil"/>
              <w:bottom w:val="nil"/>
              <w:right w:val="nil"/>
            </w:tcBorders>
            <w:shd w:val="clear" w:color="auto" w:fill="auto"/>
            <w:hideMark/>
          </w:tcPr>
          <w:p w14:paraId="5600224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lastRenderedPageBreak/>
              <w:t>b) indirizzo al quale inviarle;</w:t>
            </w:r>
          </w:p>
        </w:tc>
      </w:tr>
      <w:tr w:rsidR="004C45EE" w:rsidRPr="004C45EE" w14:paraId="51E8A002" w14:textId="77777777" w:rsidTr="004C45EE">
        <w:trPr>
          <w:trHeight w:val="255"/>
        </w:trPr>
        <w:tc>
          <w:tcPr>
            <w:tcW w:w="10180" w:type="dxa"/>
            <w:tcBorders>
              <w:top w:val="nil"/>
              <w:left w:val="nil"/>
              <w:bottom w:val="nil"/>
              <w:right w:val="nil"/>
            </w:tcBorders>
            <w:shd w:val="clear" w:color="auto" w:fill="auto"/>
            <w:hideMark/>
          </w:tcPr>
          <w:p w14:paraId="71AE972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Lingua o lingue in cui devono essere redatte.</w:t>
            </w:r>
          </w:p>
        </w:tc>
      </w:tr>
      <w:tr w:rsidR="004C45EE" w:rsidRPr="004C45EE" w14:paraId="51CE6947" w14:textId="77777777" w:rsidTr="004C45EE">
        <w:trPr>
          <w:trHeight w:val="255"/>
        </w:trPr>
        <w:tc>
          <w:tcPr>
            <w:tcW w:w="10180" w:type="dxa"/>
            <w:tcBorders>
              <w:top w:val="nil"/>
              <w:left w:val="nil"/>
              <w:bottom w:val="nil"/>
              <w:right w:val="nil"/>
            </w:tcBorders>
            <w:shd w:val="clear" w:color="auto" w:fill="auto"/>
            <w:hideMark/>
          </w:tcPr>
          <w:p w14:paraId="644F507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12. Indicare:</w:t>
            </w:r>
          </w:p>
        </w:tc>
      </w:tr>
      <w:tr w:rsidR="004C45EE" w:rsidRPr="004C45EE" w14:paraId="63B73F32" w14:textId="77777777" w:rsidTr="004C45EE">
        <w:trPr>
          <w:trHeight w:val="255"/>
        </w:trPr>
        <w:tc>
          <w:tcPr>
            <w:tcW w:w="10180" w:type="dxa"/>
            <w:tcBorders>
              <w:top w:val="nil"/>
              <w:left w:val="nil"/>
              <w:bottom w:val="nil"/>
              <w:right w:val="nil"/>
            </w:tcBorders>
            <w:shd w:val="clear" w:color="auto" w:fill="auto"/>
            <w:hideMark/>
          </w:tcPr>
          <w:p w14:paraId="76A99B4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eventualmente, persone ammesse ad assistere all'apertura delle offerte;</w:t>
            </w:r>
          </w:p>
        </w:tc>
      </w:tr>
      <w:tr w:rsidR="004C45EE" w:rsidRPr="004C45EE" w14:paraId="0EDB44E5" w14:textId="77777777" w:rsidTr="004C45EE">
        <w:trPr>
          <w:trHeight w:val="255"/>
        </w:trPr>
        <w:tc>
          <w:tcPr>
            <w:tcW w:w="10180" w:type="dxa"/>
            <w:tcBorders>
              <w:top w:val="nil"/>
              <w:left w:val="nil"/>
              <w:bottom w:val="nil"/>
              <w:right w:val="nil"/>
            </w:tcBorders>
            <w:shd w:val="clear" w:color="auto" w:fill="auto"/>
            <w:hideMark/>
          </w:tcPr>
          <w:p w14:paraId="08004EC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data, ora e luogo di tale apertura.</w:t>
            </w:r>
          </w:p>
        </w:tc>
      </w:tr>
      <w:tr w:rsidR="004C45EE" w:rsidRPr="004C45EE" w14:paraId="40CCE026" w14:textId="77777777" w:rsidTr="004C45EE">
        <w:trPr>
          <w:trHeight w:val="255"/>
        </w:trPr>
        <w:tc>
          <w:tcPr>
            <w:tcW w:w="10180" w:type="dxa"/>
            <w:tcBorders>
              <w:top w:val="nil"/>
              <w:left w:val="nil"/>
              <w:bottom w:val="nil"/>
              <w:right w:val="nil"/>
            </w:tcBorders>
            <w:shd w:val="clear" w:color="auto" w:fill="auto"/>
            <w:hideMark/>
          </w:tcPr>
          <w:p w14:paraId="0CEED0C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13. Se del caso, cauzione e garanzie richieste.</w:t>
            </w:r>
          </w:p>
        </w:tc>
      </w:tr>
      <w:tr w:rsidR="004C45EE" w:rsidRPr="004C45EE" w14:paraId="760A503A" w14:textId="77777777" w:rsidTr="004C45EE">
        <w:trPr>
          <w:trHeight w:val="255"/>
        </w:trPr>
        <w:tc>
          <w:tcPr>
            <w:tcW w:w="10180" w:type="dxa"/>
            <w:tcBorders>
              <w:top w:val="nil"/>
              <w:left w:val="nil"/>
              <w:bottom w:val="nil"/>
              <w:right w:val="nil"/>
            </w:tcBorders>
            <w:shd w:val="clear" w:color="auto" w:fill="auto"/>
            <w:hideMark/>
          </w:tcPr>
          <w:p w14:paraId="0EBFFAE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14. Modalità essenziali di finanziamento e di pagamento e riferimenti alle disposizioni in materia.</w:t>
            </w:r>
          </w:p>
        </w:tc>
      </w:tr>
      <w:tr w:rsidR="004C45EE" w:rsidRPr="004C45EE" w14:paraId="25D4A744" w14:textId="77777777" w:rsidTr="004C45EE">
        <w:trPr>
          <w:trHeight w:val="510"/>
        </w:trPr>
        <w:tc>
          <w:tcPr>
            <w:tcW w:w="10180" w:type="dxa"/>
            <w:tcBorders>
              <w:top w:val="nil"/>
              <w:left w:val="nil"/>
              <w:bottom w:val="nil"/>
              <w:right w:val="nil"/>
            </w:tcBorders>
            <w:shd w:val="clear" w:color="auto" w:fill="auto"/>
            <w:hideMark/>
          </w:tcPr>
          <w:p w14:paraId="04B4C42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15. Eventualmente, forma giuridica che dovrà assumere il raggruppamento di operatori economici, cui sia aggiudicato l'appalto.</w:t>
            </w:r>
          </w:p>
        </w:tc>
      </w:tr>
      <w:tr w:rsidR="004C45EE" w:rsidRPr="004C45EE" w14:paraId="25000391" w14:textId="77777777" w:rsidTr="004C45EE">
        <w:trPr>
          <w:trHeight w:val="255"/>
        </w:trPr>
        <w:tc>
          <w:tcPr>
            <w:tcW w:w="10180" w:type="dxa"/>
            <w:tcBorders>
              <w:top w:val="nil"/>
              <w:left w:val="nil"/>
              <w:bottom w:val="nil"/>
              <w:right w:val="nil"/>
            </w:tcBorders>
            <w:shd w:val="clear" w:color="auto" w:fill="auto"/>
            <w:hideMark/>
          </w:tcPr>
          <w:p w14:paraId="6A21928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16. Requisiti minimi di carattere economico e tecnico che l'operatore economico aggiudicatario dovrà soddisfare.</w:t>
            </w:r>
          </w:p>
        </w:tc>
      </w:tr>
      <w:tr w:rsidR="004C45EE" w:rsidRPr="004C45EE" w14:paraId="6005109F" w14:textId="77777777" w:rsidTr="004C45EE">
        <w:trPr>
          <w:trHeight w:val="255"/>
        </w:trPr>
        <w:tc>
          <w:tcPr>
            <w:tcW w:w="10180" w:type="dxa"/>
            <w:tcBorders>
              <w:top w:val="nil"/>
              <w:left w:val="nil"/>
              <w:bottom w:val="nil"/>
              <w:right w:val="nil"/>
            </w:tcBorders>
            <w:shd w:val="clear" w:color="auto" w:fill="auto"/>
            <w:hideMark/>
          </w:tcPr>
          <w:p w14:paraId="0C958B1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17. Periodo di tempo durante il quale l'offerente è vincolato dalla propria offerta.</w:t>
            </w:r>
          </w:p>
        </w:tc>
      </w:tr>
      <w:tr w:rsidR="004C45EE" w:rsidRPr="004C45EE" w14:paraId="7CD10D61" w14:textId="77777777" w:rsidTr="004C45EE">
        <w:trPr>
          <w:trHeight w:val="255"/>
        </w:trPr>
        <w:tc>
          <w:tcPr>
            <w:tcW w:w="10180" w:type="dxa"/>
            <w:tcBorders>
              <w:top w:val="nil"/>
              <w:left w:val="nil"/>
              <w:bottom w:val="nil"/>
              <w:right w:val="nil"/>
            </w:tcBorders>
            <w:shd w:val="clear" w:color="auto" w:fill="auto"/>
            <w:hideMark/>
          </w:tcPr>
          <w:p w14:paraId="3D5B90D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18. Eventualmente, le condizioni particolari cui è sottoposta la realizzazione dell'appalto.</w:t>
            </w:r>
          </w:p>
        </w:tc>
      </w:tr>
      <w:tr w:rsidR="004C45EE" w:rsidRPr="004C45EE" w14:paraId="10A183DF" w14:textId="77777777" w:rsidTr="004C45EE">
        <w:trPr>
          <w:trHeight w:val="1020"/>
        </w:trPr>
        <w:tc>
          <w:tcPr>
            <w:tcW w:w="10180" w:type="dxa"/>
            <w:tcBorders>
              <w:top w:val="nil"/>
              <w:left w:val="nil"/>
              <w:bottom w:val="nil"/>
              <w:right w:val="nil"/>
            </w:tcBorders>
            <w:shd w:val="clear" w:color="auto" w:fill="auto"/>
            <w:hideMark/>
          </w:tcPr>
          <w:p w14:paraId="7AFB2AA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19. Criteri che saranno utilizzati per l'aggiudicazione dell'appalto. Salvo nel caso in cui l'offerta economicamente più vantaggiosa è individuata sulla base del solo prezzo, i criteri per determinare l'offerta economicamente più vantaggiosa nonché la ponderazione a essi attribuita o, se del caso, la gerarchia di applicazione degli stessi sono indicati qualora non figurino nel capitolato d'oneri.</w:t>
            </w:r>
          </w:p>
        </w:tc>
      </w:tr>
      <w:tr w:rsidR="004C45EE" w:rsidRPr="004C45EE" w14:paraId="5F31332E" w14:textId="77777777" w:rsidTr="004C45EE">
        <w:trPr>
          <w:trHeight w:val="765"/>
        </w:trPr>
        <w:tc>
          <w:tcPr>
            <w:tcW w:w="10180" w:type="dxa"/>
            <w:tcBorders>
              <w:top w:val="nil"/>
              <w:left w:val="nil"/>
              <w:bottom w:val="nil"/>
              <w:right w:val="nil"/>
            </w:tcBorders>
            <w:shd w:val="clear" w:color="auto" w:fill="auto"/>
            <w:hideMark/>
          </w:tcPr>
          <w:p w14:paraId="1F4CC51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20. Eventualmente, la data o le date e il riferimento o i riferimenti alla pubblicazione nella Gazzetta ufficiale dell'Unione europea o nella Gazzetta Ufficiale della Repubblica italiana dell'avviso periodico, o dell'avviso che annuncia la pubblicazione del presente avviso nel «profilo di committente» cui si riferisce l'appalto.</w:t>
            </w:r>
          </w:p>
        </w:tc>
      </w:tr>
      <w:tr w:rsidR="004C45EE" w:rsidRPr="004C45EE" w14:paraId="007E9939" w14:textId="77777777" w:rsidTr="004C45EE">
        <w:trPr>
          <w:trHeight w:val="765"/>
        </w:trPr>
        <w:tc>
          <w:tcPr>
            <w:tcW w:w="10180" w:type="dxa"/>
            <w:tcBorders>
              <w:top w:val="nil"/>
              <w:left w:val="nil"/>
              <w:bottom w:val="nil"/>
              <w:right w:val="nil"/>
            </w:tcBorders>
            <w:shd w:val="clear" w:color="auto" w:fill="auto"/>
            <w:hideMark/>
          </w:tcPr>
          <w:p w14:paraId="7D855E4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21. Denominazione e indirizzo dell'organo competente per le procedure di ricorso e, se del caso, di mediazione. Precisazioni dei termini per la proposizione di ricorsi o, se necessario, denominazione, indirizzo, numero di telefono, di fax e indirizzo elettronico del servizio presso il quale l'informazione in questione può essere richiesta.</w:t>
            </w:r>
          </w:p>
        </w:tc>
      </w:tr>
      <w:tr w:rsidR="004C45EE" w:rsidRPr="004C45EE" w14:paraId="17B42245" w14:textId="77777777" w:rsidTr="004C45EE">
        <w:trPr>
          <w:trHeight w:val="255"/>
        </w:trPr>
        <w:tc>
          <w:tcPr>
            <w:tcW w:w="10180" w:type="dxa"/>
            <w:tcBorders>
              <w:top w:val="nil"/>
              <w:left w:val="nil"/>
              <w:bottom w:val="nil"/>
              <w:right w:val="nil"/>
            </w:tcBorders>
            <w:shd w:val="clear" w:color="auto" w:fill="auto"/>
            <w:hideMark/>
          </w:tcPr>
          <w:p w14:paraId="13C8C18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22. Data di spedizione dell'avviso o del bando di gara da parte dell'ente aggiudicatore.</w:t>
            </w:r>
          </w:p>
        </w:tc>
      </w:tr>
      <w:tr w:rsidR="004C45EE" w:rsidRPr="004C45EE" w14:paraId="59325FD0" w14:textId="77777777" w:rsidTr="004C45EE">
        <w:trPr>
          <w:trHeight w:val="255"/>
        </w:trPr>
        <w:tc>
          <w:tcPr>
            <w:tcW w:w="10180" w:type="dxa"/>
            <w:tcBorders>
              <w:top w:val="nil"/>
              <w:left w:val="nil"/>
              <w:bottom w:val="nil"/>
              <w:right w:val="nil"/>
            </w:tcBorders>
            <w:shd w:val="clear" w:color="auto" w:fill="auto"/>
            <w:hideMark/>
          </w:tcPr>
          <w:p w14:paraId="74937D1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23. Altre eventuali informazioni.</w:t>
            </w:r>
          </w:p>
        </w:tc>
      </w:tr>
      <w:tr w:rsidR="004C45EE" w:rsidRPr="004C45EE" w14:paraId="1E4DD4A9" w14:textId="77777777" w:rsidTr="004C45EE">
        <w:trPr>
          <w:trHeight w:val="510"/>
        </w:trPr>
        <w:tc>
          <w:tcPr>
            <w:tcW w:w="10180" w:type="dxa"/>
            <w:tcBorders>
              <w:top w:val="nil"/>
              <w:left w:val="nil"/>
              <w:bottom w:val="nil"/>
              <w:right w:val="nil"/>
            </w:tcBorders>
            <w:shd w:val="clear" w:color="auto" w:fill="auto"/>
            <w:hideMark/>
          </w:tcPr>
          <w:p w14:paraId="7C92943D"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SEZIONE E – Informazioni che devono figurare nei bandi e negli avvisi di gara per l'aggiudicazione degli appalti in caso di procedure ristrette (di cui</w:t>
            </w:r>
          </w:p>
        </w:tc>
      </w:tr>
      <w:tr w:rsidR="004C45EE" w:rsidRPr="004C45EE" w14:paraId="0998DDA7" w14:textId="77777777" w:rsidTr="004C45EE">
        <w:trPr>
          <w:trHeight w:val="255"/>
        </w:trPr>
        <w:tc>
          <w:tcPr>
            <w:tcW w:w="10180" w:type="dxa"/>
            <w:tcBorders>
              <w:top w:val="nil"/>
              <w:left w:val="nil"/>
              <w:bottom w:val="nil"/>
              <w:right w:val="nil"/>
            </w:tcBorders>
            <w:shd w:val="clear" w:color="auto" w:fill="auto"/>
            <w:hideMark/>
          </w:tcPr>
          <w:p w14:paraId="2AE40B79" w14:textId="77777777" w:rsidR="004C45EE" w:rsidRPr="004C45EE" w:rsidRDefault="004C45EE" w:rsidP="004C45EE">
            <w:pPr>
              <w:shd w:val="clear" w:color="auto" w:fill="F2F2F2" w:themeFill="background1" w:themeFillShade="F2"/>
              <w:rPr>
                <w:rFonts w:eastAsia="Times New Roman"/>
                <w:color w:val="000000"/>
                <w:kern w:val="0"/>
                <w:sz w:val="20"/>
                <w:szCs w:val="20"/>
                <w:lang w:eastAsia="it-IT"/>
              </w:rPr>
            </w:pPr>
            <w:r w:rsidRPr="004C45EE">
              <w:rPr>
                <w:rFonts w:eastAsia="Times New Roman"/>
                <w:b/>
                <w:bCs/>
                <w:kern w:val="0"/>
                <w:sz w:val="20"/>
                <w:szCs w:val="20"/>
                <w:lang w:eastAsia="it-IT"/>
              </w:rPr>
              <w:t>all'articolo 156, comma 1</w:t>
            </w:r>
            <w:r w:rsidRPr="004C45EE">
              <w:rPr>
                <w:rFonts w:eastAsia="Times New Roman"/>
                <w:kern w:val="0"/>
                <w:sz w:val="20"/>
                <w:szCs w:val="20"/>
                <w:lang w:eastAsia="it-IT"/>
              </w:rPr>
              <w:t>)</w:t>
            </w:r>
          </w:p>
        </w:tc>
      </w:tr>
      <w:tr w:rsidR="004C45EE" w:rsidRPr="004C45EE" w14:paraId="594F2B94" w14:textId="77777777" w:rsidTr="004C45EE">
        <w:trPr>
          <w:trHeight w:val="765"/>
        </w:trPr>
        <w:tc>
          <w:tcPr>
            <w:tcW w:w="10180" w:type="dxa"/>
            <w:tcBorders>
              <w:top w:val="nil"/>
              <w:left w:val="nil"/>
              <w:bottom w:val="nil"/>
              <w:right w:val="nil"/>
            </w:tcBorders>
            <w:shd w:val="clear" w:color="auto" w:fill="auto"/>
            <w:hideMark/>
          </w:tcPr>
          <w:p w14:paraId="487C081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dalla legislazione nazionale), indirizzo comprensivo di codice NUTS, telefono, fax, posta elettronica e indirizzo Internet della stazione appaltante o dell’ente concedente e, se diverso, del servizio al quale rivolgersi per informazioni complementari.</w:t>
            </w:r>
          </w:p>
        </w:tc>
      </w:tr>
      <w:tr w:rsidR="004C45EE" w:rsidRPr="004C45EE" w14:paraId="5039E0B4" w14:textId="77777777" w:rsidTr="004C45EE">
        <w:trPr>
          <w:trHeight w:val="255"/>
        </w:trPr>
        <w:tc>
          <w:tcPr>
            <w:tcW w:w="10180" w:type="dxa"/>
            <w:tcBorders>
              <w:top w:val="nil"/>
              <w:left w:val="nil"/>
              <w:bottom w:val="nil"/>
              <w:right w:val="nil"/>
            </w:tcBorders>
            <w:shd w:val="clear" w:color="auto" w:fill="auto"/>
            <w:hideMark/>
          </w:tcPr>
          <w:p w14:paraId="4D47A2B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Principale attività esercitata.</w:t>
            </w:r>
          </w:p>
        </w:tc>
      </w:tr>
      <w:tr w:rsidR="004C45EE" w:rsidRPr="004C45EE" w14:paraId="3CFD4A16" w14:textId="77777777" w:rsidTr="004C45EE">
        <w:trPr>
          <w:trHeight w:val="510"/>
        </w:trPr>
        <w:tc>
          <w:tcPr>
            <w:tcW w:w="10180" w:type="dxa"/>
            <w:tcBorders>
              <w:top w:val="nil"/>
              <w:left w:val="nil"/>
              <w:bottom w:val="nil"/>
              <w:right w:val="nil"/>
            </w:tcBorders>
            <w:shd w:val="clear" w:color="auto" w:fill="auto"/>
            <w:hideMark/>
          </w:tcPr>
          <w:p w14:paraId="576E494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Indicare eventualmente se l'appalto è riservato a laboratori protetti o se l'esecuzione è riservata nel contesto di programmi di lavoro protetti.</w:t>
            </w:r>
          </w:p>
        </w:tc>
      </w:tr>
      <w:tr w:rsidR="004C45EE" w:rsidRPr="004C45EE" w14:paraId="6A9F6F5D" w14:textId="77777777" w:rsidTr="004C45EE">
        <w:trPr>
          <w:trHeight w:val="510"/>
        </w:trPr>
        <w:tc>
          <w:tcPr>
            <w:tcW w:w="10180" w:type="dxa"/>
            <w:tcBorders>
              <w:top w:val="nil"/>
              <w:left w:val="nil"/>
              <w:bottom w:val="nil"/>
              <w:right w:val="nil"/>
            </w:tcBorders>
            <w:shd w:val="clear" w:color="auto" w:fill="auto"/>
            <w:hideMark/>
          </w:tcPr>
          <w:p w14:paraId="5C0FF10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Natura dell'appalto (forniture, lavori o servizi; indicare, se del caso, se si tratta di un accordo quadro). Descrizione del progetto (codici CPV). Indicare</w:t>
            </w:r>
          </w:p>
        </w:tc>
      </w:tr>
      <w:tr w:rsidR="004C45EE" w:rsidRPr="004C45EE" w14:paraId="2E8B8D1F" w14:textId="77777777" w:rsidTr="004C45EE">
        <w:trPr>
          <w:trHeight w:val="510"/>
        </w:trPr>
        <w:tc>
          <w:tcPr>
            <w:tcW w:w="10180" w:type="dxa"/>
            <w:tcBorders>
              <w:top w:val="nil"/>
              <w:left w:val="nil"/>
              <w:bottom w:val="nil"/>
              <w:right w:val="nil"/>
            </w:tcBorders>
            <w:shd w:val="clear" w:color="auto" w:fill="auto"/>
            <w:hideMark/>
          </w:tcPr>
          <w:p w14:paraId="0180355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eventualmente se le offerte sollecitate lo sono a fini di acquisto, di locazione finanziaria, di locazione, di acquisto a riscatto o di una combinazione tra queste possibilità.</w:t>
            </w:r>
          </w:p>
        </w:tc>
      </w:tr>
      <w:tr w:rsidR="004C45EE" w:rsidRPr="004C45EE" w14:paraId="4C4A3924" w14:textId="77777777" w:rsidTr="004C45EE">
        <w:trPr>
          <w:trHeight w:val="510"/>
        </w:trPr>
        <w:tc>
          <w:tcPr>
            <w:tcW w:w="10180" w:type="dxa"/>
            <w:tcBorders>
              <w:top w:val="nil"/>
              <w:left w:val="nil"/>
              <w:bottom w:val="nil"/>
              <w:right w:val="nil"/>
            </w:tcBorders>
            <w:shd w:val="clear" w:color="auto" w:fill="auto"/>
            <w:hideMark/>
          </w:tcPr>
          <w:p w14:paraId="3AB1A66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Il codice NUTS del luogo principale per l'esecuzione dei lavori nel caso di appalti di lavori o il codice NUTS del luogo principale di consegna o di prestazione per gli appalti di forniture e di servizi.</w:t>
            </w:r>
          </w:p>
        </w:tc>
      </w:tr>
      <w:tr w:rsidR="004C45EE" w:rsidRPr="004C45EE" w14:paraId="5DC54289" w14:textId="77777777" w:rsidTr="004C45EE">
        <w:trPr>
          <w:trHeight w:val="255"/>
        </w:trPr>
        <w:tc>
          <w:tcPr>
            <w:tcW w:w="10180" w:type="dxa"/>
            <w:tcBorders>
              <w:top w:val="nil"/>
              <w:left w:val="nil"/>
              <w:bottom w:val="nil"/>
              <w:right w:val="nil"/>
            </w:tcBorders>
            <w:shd w:val="clear" w:color="auto" w:fill="auto"/>
            <w:hideMark/>
          </w:tcPr>
          <w:p w14:paraId="567EE93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Per le forniture e i lavori:</w:t>
            </w:r>
          </w:p>
        </w:tc>
      </w:tr>
      <w:tr w:rsidR="004C45EE" w:rsidRPr="004C45EE" w14:paraId="6C47CA31" w14:textId="77777777" w:rsidTr="004C45EE">
        <w:trPr>
          <w:trHeight w:val="1020"/>
        </w:trPr>
        <w:tc>
          <w:tcPr>
            <w:tcW w:w="10180" w:type="dxa"/>
            <w:tcBorders>
              <w:top w:val="nil"/>
              <w:left w:val="nil"/>
              <w:bottom w:val="nil"/>
              <w:right w:val="nil"/>
            </w:tcBorders>
            <w:shd w:val="clear" w:color="auto" w:fill="auto"/>
            <w:hideMark/>
          </w:tcPr>
          <w:p w14:paraId="7396690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natura e quantità dei prodotti da fornire (codici CPV). Indicare tra l'altro eventuali opzioni relative ad acquisti complementari e, se possibile, il termine previsto per esercitare tali opzioni nonché il numero di eventuali rinnovi. Nel caso di appalti rinnovabili, indicare anche, se possibile, un calendario provvisorio dei successivi bandi di gara per i prodotti richiesti o la natura e l'entità delle prestazioni, nonché le caratteristiche generali dell'opera (codici CPV);</w:t>
            </w:r>
          </w:p>
        </w:tc>
      </w:tr>
      <w:tr w:rsidR="004C45EE" w:rsidRPr="004C45EE" w14:paraId="2FA1D9E4" w14:textId="77777777" w:rsidTr="004C45EE">
        <w:trPr>
          <w:trHeight w:val="765"/>
        </w:trPr>
        <w:tc>
          <w:tcPr>
            <w:tcW w:w="10180" w:type="dxa"/>
            <w:tcBorders>
              <w:top w:val="nil"/>
              <w:left w:val="nil"/>
              <w:bottom w:val="nil"/>
              <w:right w:val="nil"/>
            </w:tcBorders>
            <w:shd w:val="clear" w:color="auto" w:fill="auto"/>
            <w:hideMark/>
          </w:tcPr>
          <w:p w14:paraId="1924B0D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indicazioni relative alla possibilità, per i fornitori, di presentare offerte per tutti i prodotti richiesti o per parte di essi. Per gli appalti di lavori, se l'opera o l'appalto è suddiviso in più lotti, l'ordine di grandezza dei vari lotti e la possibilità di presentare offerte per uno, per più o per tutti i lotti;</w:t>
            </w:r>
          </w:p>
        </w:tc>
      </w:tr>
      <w:tr w:rsidR="004C45EE" w:rsidRPr="004C45EE" w14:paraId="3BF0D6C6" w14:textId="77777777" w:rsidTr="004C45EE">
        <w:trPr>
          <w:trHeight w:val="510"/>
        </w:trPr>
        <w:tc>
          <w:tcPr>
            <w:tcW w:w="10180" w:type="dxa"/>
            <w:tcBorders>
              <w:top w:val="nil"/>
              <w:left w:val="nil"/>
              <w:bottom w:val="nil"/>
              <w:right w:val="nil"/>
            </w:tcBorders>
            <w:shd w:val="clear" w:color="auto" w:fill="auto"/>
            <w:hideMark/>
          </w:tcPr>
          <w:p w14:paraId="6F30BDD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per gli appalti di lavori: informazioni sull'obiettivo dell'opera o dell'appalto quando quest'ultimo comporti anche l'elaborazione di progetti.</w:t>
            </w:r>
          </w:p>
        </w:tc>
      </w:tr>
      <w:tr w:rsidR="004C45EE" w:rsidRPr="004C45EE" w14:paraId="508AB895" w14:textId="77777777" w:rsidTr="004C45EE">
        <w:trPr>
          <w:trHeight w:val="255"/>
        </w:trPr>
        <w:tc>
          <w:tcPr>
            <w:tcW w:w="10180" w:type="dxa"/>
            <w:tcBorders>
              <w:top w:val="nil"/>
              <w:left w:val="nil"/>
              <w:bottom w:val="nil"/>
              <w:right w:val="nil"/>
            </w:tcBorders>
            <w:shd w:val="clear" w:color="auto" w:fill="auto"/>
            <w:hideMark/>
          </w:tcPr>
          <w:p w14:paraId="216C3DC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Per i servizi:</w:t>
            </w:r>
          </w:p>
        </w:tc>
      </w:tr>
      <w:tr w:rsidR="004C45EE" w:rsidRPr="004C45EE" w14:paraId="21C2663B" w14:textId="77777777" w:rsidTr="004C45EE">
        <w:trPr>
          <w:trHeight w:val="1020"/>
        </w:trPr>
        <w:tc>
          <w:tcPr>
            <w:tcW w:w="10180" w:type="dxa"/>
            <w:tcBorders>
              <w:top w:val="nil"/>
              <w:left w:val="nil"/>
              <w:bottom w:val="nil"/>
              <w:right w:val="nil"/>
            </w:tcBorders>
            <w:shd w:val="clear" w:color="auto" w:fill="auto"/>
            <w:hideMark/>
          </w:tcPr>
          <w:p w14:paraId="74D81C4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natura e quantità dei servizi da fornire. Indicare tra l'altro eventuali opzioni relative ad acquisti complementari e, se possibile, il termine previsto per esercitare tali opzioni nonché il numero di eventuali rinnovi. Nel caso di una serie di appalti rinnovabili, indicare anche, se possibile, un calendario provvisorio dei successivi bandi di gara per i servizi richiesti;</w:t>
            </w:r>
          </w:p>
        </w:tc>
      </w:tr>
      <w:tr w:rsidR="004C45EE" w:rsidRPr="004C45EE" w14:paraId="454C75DE" w14:textId="77777777" w:rsidTr="004C45EE">
        <w:trPr>
          <w:trHeight w:val="510"/>
        </w:trPr>
        <w:tc>
          <w:tcPr>
            <w:tcW w:w="10180" w:type="dxa"/>
            <w:tcBorders>
              <w:top w:val="nil"/>
              <w:left w:val="nil"/>
              <w:bottom w:val="nil"/>
              <w:right w:val="nil"/>
            </w:tcBorders>
            <w:shd w:val="clear" w:color="auto" w:fill="auto"/>
            <w:hideMark/>
          </w:tcPr>
          <w:p w14:paraId="39D8980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indicare se, in forza di disposizioni legislative, regolamentari o amministrative, la prestazione del servizio sia riservata a una particolare professione;</w:t>
            </w:r>
          </w:p>
        </w:tc>
      </w:tr>
      <w:tr w:rsidR="004C45EE" w:rsidRPr="004C45EE" w14:paraId="7B557DB7" w14:textId="77777777" w:rsidTr="004C45EE">
        <w:trPr>
          <w:trHeight w:val="255"/>
        </w:trPr>
        <w:tc>
          <w:tcPr>
            <w:tcW w:w="10180" w:type="dxa"/>
            <w:tcBorders>
              <w:top w:val="nil"/>
              <w:left w:val="nil"/>
              <w:bottom w:val="nil"/>
              <w:right w:val="nil"/>
            </w:tcBorders>
            <w:shd w:val="clear" w:color="auto" w:fill="auto"/>
            <w:hideMark/>
          </w:tcPr>
          <w:p w14:paraId="2152AA2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lastRenderedPageBreak/>
              <w:t>c) riferimenti a disposizioni legislative, regolamentari o amministrative;</w:t>
            </w:r>
          </w:p>
        </w:tc>
      </w:tr>
      <w:tr w:rsidR="004C45EE" w:rsidRPr="004C45EE" w14:paraId="2DBF7DE9" w14:textId="77777777" w:rsidTr="004C45EE">
        <w:trPr>
          <w:trHeight w:val="510"/>
        </w:trPr>
        <w:tc>
          <w:tcPr>
            <w:tcW w:w="10180" w:type="dxa"/>
            <w:tcBorders>
              <w:top w:val="nil"/>
              <w:left w:val="nil"/>
              <w:bottom w:val="nil"/>
              <w:right w:val="nil"/>
            </w:tcBorders>
            <w:shd w:val="clear" w:color="auto" w:fill="auto"/>
            <w:hideMark/>
          </w:tcPr>
          <w:p w14:paraId="19C4CB7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 indicare se le persone giuridiche sono tenute a indicare il nome e le qualifiche professionali del personale incaricato della prestazione del servizio;</w:t>
            </w:r>
          </w:p>
        </w:tc>
      </w:tr>
      <w:tr w:rsidR="004C45EE" w:rsidRPr="004C45EE" w14:paraId="1EEEEE56" w14:textId="77777777" w:rsidTr="004C45EE">
        <w:trPr>
          <w:trHeight w:val="255"/>
        </w:trPr>
        <w:tc>
          <w:tcPr>
            <w:tcW w:w="10180" w:type="dxa"/>
            <w:tcBorders>
              <w:top w:val="nil"/>
              <w:left w:val="nil"/>
              <w:bottom w:val="nil"/>
              <w:right w:val="nil"/>
            </w:tcBorders>
            <w:shd w:val="clear" w:color="auto" w:fill="auto"/>
            <w:hideMark/>
          </w:tcPr>
          <w:p w14:paraId="264E250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e) indicare se i prestatori possono presentare offerte per una parte dei servizi in questione.</w:t>
            </w:r>
          </w:p>
        </w:tc>
      </w:tr>
      <w:tr w:rsidR="004C45EE" w:rsidRPr="004C45EE" w14:paraId="01C1981D" w14:textId="77777777" w:rsidTr="004C45EE">
        <w:trPr>
          <w:trHeight w:val="255"/>
        </w:trPr>
        <w:tc>
          <w:tcPr>
            <w:tcW w:w="10180" w:type="dxa"/>
            <w:tcBorders>
              <w:top w:val="nil"/>
              <w:left w:val="nil"/>
              <w:bottom w:val="nil"/>
              <w:right w:val="nil"/>
            </w:tcBorders>
            <w:shd w:val="clear" w:color="auto" w:fill="auto"/>
            <w:hideMark/>
          </w:tcPr>
          <w:p w14:paraId="4F3A119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Indicare, se noto, se la presentazione di varianti è autorizzata o meno.</w:t>
            </w:r>
          </w:p>
        </w:tc>
      </w:tr>
      <w:tr w:rsidR="004C45EE" w:rsidRPr="004C45EE" w14:paraId="2E479861" w14:textId="77777777" w:rsidTr="004C45EE">
        <w:trPr>
          <w:trHeight w:val="255"/>
        </w:trPr>
        <w:tc>
          <w:tcPr>
            <w:tcW w:w="10180" w:type="dxa"/>
            <w:tcBorders>
              <w:top w:val="nil"/>
              <w:left w:val="nil"/>
              <w:bottom w:val="nil"/>
              <w:right w:val="nil"/>
            </w:tcBorders>
            <w:shd w:val="clear" w:color="auto" w:fill="auto"/>
            <w:hideMark/>
          </w:tcPr>
          <w:p w14:paraId="7AF5443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9. Termine di consegna o di esecuzione o durata dell'appalto e, se possibile, data di inizio.</w:t>
            </w:r>
          </w:p>
        </w:tc>
      </w:tr>
      <w:tr w:rsidR="004C45EE" w:rsidRPr="004C45EE" w14:paraId="19EA5091" w14:textId="77777777" w:rsidTr="004C45EE">
        <w:trPr>
          <w:trHeight w:val="510"/>
        </w:trPr>
        <w:tc>
          <w:tcPr>
            <w:tcW w:w="10180" w:type="dxa"/>
            <w:tcBorders>
              <w:top w:val="nil"/>
              <w:left w:val="nil"/>
              <w:bottom w:val="nil"/>
              <w:right w:val="nil"/>
            </w:tcBorders>
            <w:shd w:val="clear" w:color="auto" w:fill="auto"/>
            <w:hideMark/>
          </w:tcPr>
          <w:p w14:paraId="0BAD7EE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10. Eventualmente, forma giuridica che dovrà assumere il raggruppamento di operatori economici, cui sia aggiudicato l'appalto.</w:t>
            </w:r>
          </w:p>
        </w:tc>
      </w:tr>
      <w:tr w:rsidR="004C45EE" w:rsidRPr="004C45EE" w14:paraId="1B1F16C1" w14:textId="77777777" w:rsidTr="004C45EE">
        <w:trPr>
          <w:trHeight w:val="255"/>
        </w:trPr>
        <w:tc>
          <w:tcPr>
            <w:tcW w:w="10180" w:type="dxa"/>
            <w:tcBorders>
              <w:top w:val="nil"/>
              <w:left w:val="nil"/>
              <w:bottom w:val="nil"/>
              <w:right w:val="nil"/>
            </w:tcBorders>
            <w:shd w:val="clear" w:color="auto" w:fill="auto"/>
            <w:hideMark/>
          </w:tcPr>
          <w:p w14:paraId="4D218CB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11. Indicare:</w:t>
            </w:r>
          </w:p>
        </w:tc>
      </w:tr>
      <w:tr w:rsidR="004C45EE" w:rsidRPr="004C45EE" w14:paraId="505CF1B3" w14:textId="77777777" w:rsidTr="004C45EE">
        <w:trPr>
          <w:trHeight w:val="255"/>
        </w:trPr>
        <w:tc>
          <w:tcPr>
            <w:tcW w:w="10180" w:type="dxa"/>
            <w:tcBorders>
              <w:top w:val="nil"/>
              <w:left w:val="nil"/>
              <w:bottom w:val="nil"/>
              <w:right w:val="nil"/>
            </w:tcBorders>
            <w:shd w:val="clear" w:color="auto" w:fill="auto"/>
            <w:hideMark/>
          </w:tcPr>
          <w:p w14:paraId="12B8A34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termine ultimo di ricevimento delle domande di partecipazione;</w:t>
            </w:r>
          </w:p>
        </w:tc>
      </w:tr>
      <w:tr w:rsidR="004C45EE" w:rsidRPr="004C45EE" w14:paraId="610316F5" w14:textId="77777777" w:rsidTr="004C45EE">
        <w:trPr>
          <w:trHeight w:val="255"/>
        </w:trPr>
        <w:tc>
          <w:tcPr>
            <w:tcW w:w="10180" w:type="dxa"/>
            <w:tcBorders>
              <w:top w:val="nil"/>
              <w:left w:val="nil"/>
              <w:bottom w:val="nil"/>
              <w:right w:val="nil"/>
            </w:tcBorders>
            <w:shd w:val="clear" w:color="auto" w:fill="auto"/>
            <w:hideMark/>
          </w:tcPr>
          <w:p w14:paraId="18B1332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indirizzo al quale inviarle;</w:t>
            </w:r>
          </w:p>
        </w:tc>
      </w:tr>
      <w:tr w:rsidR="004C45EE" w:rsidRPr="004C45EE" w14:paraId="37FE9AB0" w14:textId="77777777" w:rsidTr="004C45EE">
        <w:trPr>
          <w:trHeight w:val="255"/>
        </w:trPr>
        <w:tc>
          <w:tcPr>
            <w:tcW w:w="10180" w:type="dxa"/>
            <w:tcBorders>
              <w:top w:val="nil"/>
              <w:left w:val="nil"/>
              <w:bottom w:val="nil"/>
              <w:right w:val="nil"/>
            </w:tcBorders>
            <w:shd w:val="clear" w:color="auto" w:fill="auto"/>
            <w:hideMark/>
          </w:tcPr>
          <w:p w14:paraId="4E94A80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lingua o lingue in cui devono essere redatte.</w:t>
            </w:r>
          </w:p>
        </w:tc>
      </w:tr>
      <w:tr w:rsidR="004C45EE" w:rsidRPr="004C45EE" w14:paraId="1EDE09F3" w14:textId="77777777" w:rsidTr="004C45EE">
        <w:trPr>
          <w:trHeight w:val="255"/>
        </w:trPr>
        <w:tc>
          <w:tcPr>
            <w:tcW w:w="10180" w:type="dxa"/>
            <w:tcBorders>
              <w:top w:val="nil"/>
              <w:left w:val="nil"/>
              <w:bottom w:val="nil"/>
              <w:right w:val="nil"/>
            </w:tcBorders>
            <w:shd w:val="clear" w:color="auto" w:fill="auto"/>
            <w:hideMark/>
          </w:tcPr>
          <w:p w14:paraId="3D8127B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12. Termine ultimo di spedizione degli inviti a presentare offerte.</w:t>
            </w:r>
          </w:p>
        </w:tc>
      </w:tr>
      <w:tr w:rsidR="004C45EE" w:rsidRPr="004C45EE" w14:paraId="2AD2A38A" w14:textId="77777777" w:rsidTr="004C45EE">
        <w:trPr>
          <w:trHeight w:val="255"/>
        </w:trPr>
        <w:tc>
          <w:tcPr>
            <w:tcW w:w="10180" w:type="dxa"/>
            <w:tcBorders>
              <w:top w:val="nil"/>
              <w:left w:val="nil"/>
              <w:bottom w:val="nil"/>
              <w:right w:val="nil"/>
            </w:tcBorders>
            <w:shd w:val="clear" w:color="auto" w:fill="auto"/>
            <w:hideMark/>
          </w:tcPr>
          <w:p w14:paraId="4730810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13. Se del caso, cauzione e garanzie richieste.</w:t>
            </w:r>
          </w:p>
        </w:tc>
      </w:tr>
      <w:tr w:rsidR="004C45EE" w:rsidRPr="004C45EE" w14:paraId="2CC7834A" w14:textId="77777777" w:rsidTr="004C45EE">
        <w:trPr>
          <w:trHeight w:val="255"/>
        </w:trPr>
        <w:tc>
          <w:tcPr>
            <w:tcW w:w="10180" w:type="dxa"/>
            <w:tcBorders>
              <w:top w:val="nil"/>
              <w:left w:val="nil"/>
              <w:bottom w:val="nil"/>
              <w:right w:val="nil"/>
            </w:tcBorders>
            <w:shd w:val="clear" w:color="auto" w:fill="auto"/>
            <w:hideMark/>
          </w:tcPr>
          <w:p w14:paraId="6DD8AF3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14. Modalità essenziali di finanziamento e di pagamento o riferimenti alle disposizioni in materia.</w:t>
            </w:r>
          </w:p>
        </w:tc>
      </w:tr>
      <w:tr w:rsidR="004C45EE" w:rsidRPr="004C45EE" w14:paraId="2F3CB3E2" w14:textId="77777777" w:rsidTr="004C45EE">
        <w:trPr>
          <w:trHeight w:val="510"/>
        </w:trPr>
        <w:tc>
          <w:tcPr>
            <w:tcW w:w="10180" w:type="dxa"/>
            <w:tcBorders>
              <w:top w:val="nil"/>
              <w:left w:val="nil"/>
              <w:bottom w:val="nil"/>
              <w:right w:val="nil"/>
            </w:tcBorders>
            <w:shd w:val="clear" w:color="auto" w:fill="auto"/>
            <w:hideMark/>
          </w:tcPr>
          <w:p w14:paraId="7D04765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15. Informazioni riguardanti la situazione propria dell'operatore economico e i requisiti minimi di carattere economico e tecnico che deve soddisfare.</w:t>
            </w:r>
          </w:p>
        </w:tc>
      </w:tr>
      <w:tr w:rsidR="004C45EE" w:rsidRPr="004C45EE" w14:paraId="5DA47AE9" w14:textId="77777777" w:rsidTr="004C45EE">
        <w:trPr>
          <w:trHeight w:val="1020"/>
        </w:trPr>
        <w:tc>
          <w:tcPr>
            <w:tcW w:w="10180" w:type="dxa"/>
            <w:tcBorders>
              <w:top w:val="nil"/>
              <w:left w:val="nil"/>
              <w:bottom w:val="nil"/>
              <w:right w:val="nil"/>
            </w:tcBorders>
            <w:shd w:val="clear" w:color="auto" w:fill="auto"/>
            <w:hideMark/>
          </w:tcPr>
          <w:p w14:paraId="46CDBBA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16. Criteri che saranno utilizzati per l'aggiudicazione dell'appalto. Salvo nel caso in cui l'offerta economicamente più vantaggiosa è individuata sulla base del solo prezzo, i criteri per determinare l'offerta economicamente più vantaggiosa nonché la ponderazione a essi attribuita o, se del caso, la gerarchia di applicazione degli stessi sono indicati qualora non figurino nel capitolato d'oneri o non ne sia previsto l'inserimento nell'invito a presentare un'offerta.</w:t>
            </w:r>
          </w:p>
        </w:tc>
      </w:tr>
      <w:tr w:rsidR="004C45EE" w:rsidRPr="004C45EE" w14:paraId="10E37563" w14:textId="77777777" w:rsidTr="004C45EE">
        <w:trPr>
          <w:trHeight w:val="255"/>
        </w:trPr>
        <w:tc>
          <w:tcPr>
            <w:tcW w:w="10180" w:type="dxa"/>
            <w:tcBorders>
              <w:top w:val="nil"/>
              <w:left w:val="nil"/>
              <w:bottom w:val="nil"/>
              <w:right w:val="nil"/>
            </w:tcBorders>
            <w:shd w:val="clear" w:color="auto" w:fill="auto"/>
            <w:hideMark/>
          </w:tcPr>
          <w:p w14:paraId="0A0C31E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17. Eventualmente, le condizioni particolari cui è sottoposta la realizzazione dell'appalto.</w:t>
            </w:r>
          </w:p>
        </w:tc>
      </w:tr>
      <w:tr w:rsidR="004C45EE" w:rsidRPr="004C45EE" w14:paraId="0949363D" w14:textId="77777777" w:rsidTr="004C45EE">
        <w:trPr>
          <w:trHeight w:val="765"/>
        </w:trPr>
        <w:tc>
          <w:tcPr>
            <w:tcW w:w="10180" w:type="dxa"/>
            <w:tcBorders>
              <w:top w:val="nil"/>
              <w:left w:val="nil"/>
              <w:bottom w:val="nil"/>
              <w:right w:val="nil"/>
            </w:tcBorders>
            <w:shd w:val="clear" w:color="auto" w:fill="auto"/>
            <w:hideMark/>
          </w:tcPr>
          <w:p w14:paraId="011B243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18. Eventualmente, la data o le date e il riferimento o i riferimenti alla pubblicazione nella Gazzetta ufficiale dell'Unione europea o nella Gazzetta Ufficiale della Repubblica italiana dell'avviso periodico, o dell'avviso che annuncia la pubblicazione del presente avviso nel «profilo di committente» cui si riferisce l'appalto.</w:t>
            </w:r>
          </w:p>
        </w:tc>
      </w:tr>
      <w:tr w:rsidR="004C45EE" w:rsidRPr="004C45EE" w14:paraId="518B890F" w14:textId="77777777" w:rsidTr="004C45EE">
        <w:trPr>
          <w:trHeight w:val="765"/>
        </w:trPr>
        <w:tc>
          <w:tcPr>
            <w:tcW w:w="10180" w:type="dxa"/>
            <w:tcBorders>
              <w:top w:val="nil"/>
              <w:left w:val="nil"/>
              <w:bottom w:val="nil"/>
              <w:right w:val="nil"/>
            </w:tcBorders>
            <w:shd w:val="clear" w:color="auto" w:fill="auto"/>
            <w:hideMark/>
          </w:tcPr>
          <w:p w14:paraId="58B276F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19. Denominazione e indirizzo dell'organo competente per le procedure di ricorso e, se del caso, di mediazione. Precisazioni dei termini per la proposizione di ricorsi o, se necessario, denominazione, indirizzo, numero di telefono, di fax e indirizzo elettronico del servizio presso il quale l'informazione in questione può essere richiesta.</w:t>
            </w:r>
          </w:p>
        </w:tc>
      </w:tr>
      <w:tr w:rsidR="004C45EE" w:rsidRPr="004C45EE" w14:paraId="717E91B6" w14:textId="77777777" w:rsidTr="004C45EE">
        <w:trPr>
          <w:trHeight w:val="255"/>
        </w:trPr>
        <w:tc>
          <w:tcPr>
            <w:tcW w:w="10180" w:type="dxa"/>
            <w:tcBorders>
              <w:top w:val="nil"/>
              <w:left w:val="nil"/>
              <w:bottom w:val="nil"/>
              <w:right w:val="nil"/>
            </w:tcBorders>
            <w:shd w:val="clear" w:color="auto" w:fill="auto"/>
            <w:hideMark/>
          </w:tcPr>
          <w:p w14:paraId="7115EEF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20. Data di invio dell'avviso da parte della stazione appaltante o dell’ente concedente.</w:t>
            </w:r>
          </w:p>
        </w:tc>
      </w:tr>
      <w:tr w:rsidR="004C45EE" w:rsidRPr="004C45EE" w14:paraId="2FBF2036" w14:textId="77777777" w:rsidTr="004C45EE">
        <w:trPr>
          <w:trHeight w:val="255"/>
        </w:trPr>
        <w:tc>
          <w:tcPr>
            <w:tcW w:w="10180" w:type="dxa"/>
            <w:tcBorders>
              <w:top w:val="nil"/>
              <w:left w:val="nil"/>
              <w:bottom w:val="nil"/>
              <w:right w:val="nil"/>
            </w:tcBorders>
            <w:shd w:val="clear" w:color="auto" w:fill="auto"/>
            <w:hideMark/>
          </w:tcPr>
          <w:p w14:paraId="1FA8F4A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21. Altre eventuali informazioni.</w:t>
            </w:r>
          </w:p>
        </w:tc>
      </w:tr>
      <w:tr w:rsidR="004C45EE" w:rsidRPr="004C45EE" w14:paraId="00CC19BF" w14:textId="77777777" w:rsidTr="004C45EE">
        <w:trPr>
          <w:trHeight w:val="510"/>
        </w:trPr>
        <w:tc>
          <w:tcPr>
            <w:tcW w:w="10180" w:type="dxa"/>
            <w:tcBorders>
              <w:top w:val="nil"/>
              <w:left w:val="nil"/>
              <w:bottom w:val="nil"/>
              <w:right w:val="nil"/>
            </w:tcBorders>
            <w:shd w:val="clear" w:color="auto" w:fill="auto"/>
            <w:hideMark/>
          </w:tcPr>
          <w:p w14:paraId="52437429" w14:textId="77777777" w:rsidR="004C45EE" w:rsidRPr="004C45EE" w:rsidRDefault="004C45EE" w:rsidP="004C45EE">
            <w:pPr>
              <w:shd w:val="clear" w:color="auto" w:fill="F2F2F2" w:themeFill="background1" w:themeFillShade="F2"/>
              <w:rPr>
                <w:rFonts w:eastAsia="Times New Roman"/>
                <w:color w:val="000000"/>
                <w:kern w:val="0"/>
                <w:sz w:val="20"/>
                <w:szCs w:val="20"/>
                <w:lang w:eastAsia="it-IT"/>
              </w:rPr>
            </w:pPr>
            <w:r w:rsidRPr="004C45EE">
              <w:rPr>
                <w:rFonts w:eastAsia="Times New Roman"/>
                <w:b/>
                <w:bCs/>
                <w:kern w:val="0"/>
                <w:sz w:val="20"/>
                <w:szCs w:val="20"/>
                <w:lang w:eastAsia="it-IT"/>
              </w:rPr>
              <w:t xml:space="preserve">SEZIONE F – Informazioni che devono figurare nei bandi e negli avvisi di gara per l'aggiudicazione degli appalti in caso di procedure negoziate </w:t>
            </w:r>
            <w:r w:rsidRPr="004C45EE">
              <w:rPr>
                <w:rFonts w:eastAsia="Times New Roman"/>
                <w:kern w:val="0"/>
                <w:sz w:val="20"/>
                <w:szCs w:val="20"/>
                <w:lang w:eastAsia="it-IT"/>
              </w:rPr>
              <w:t>(</w:t>
            </w:r>
            <w:r w:rsidRPr="004C45EE">
              <w:rPr>
                <w:rFonts w:eastAsia="Times New Roman"/>
                <w:b/>
                <w:bCs/>
                <w:kern w:val="0"/>
                <w:sz w:val="20"/>
                <w:szCs w:val="20"/>
                <w:lang w:eastAsia="it-IT"/>
              </w:rPr>
              <w:t>di cui</w:t>
            </w:r>
          </w:p>
        </w:tc>
      </w:tr>
      <w:tr w:rsidR="004C45EE" w:rsidRPr="004C45EE" w14:paraId="1102FB9C" w14:textId="77777777" w:rsidTr="004C45EE">
        <w:trPr>
          <w:trHeight w:val="255"/>
        </w:trPr>
        <w:tc>
          <w:tcPr>
            <w:tcW w:w="10180" w:type="dxa"/>
            <w:tcBorders>
              <w:top w:val="nil"/>
              <w:left w:val="nil"/>
              <w:bottom w:val="nil"/>
              <w:right w:val="nil"/>
            </w:tcBorders>
            <w:shd w:val="clear" w:color="auto" w:fill="auto"/>
            <w:hideMark/>
          </w:tcPr>
          <w:p w14:paraId="3104677D" w14:textId="77777777" w:rsidR="004C45EE" w:rsidRPr="004C45EE" w:rsidRDefault="004C45EE" w:rsidP="004C45EE">
            <w:pPr>
              <w:shd w:val="clear" w:color="auto" w:fill="F2F2F2" w:themeFill="background1" w:themeFillShade="F2"/>
              <w:rPr>
                <w:rFonts w:eastAsia="Times New Roman"/>
                <w:color w:val="000000"/>
                <w:kern w:val="0"/>
                <w:sz w:val="20"/>
                <w:szCs w:val="20"/>
                <w:lang w:eastAsia="it-IT"/>
              </w:rPr>
            </w:pPr>
            <w:r w:rsidRPr="004C45EE">
              <w:rPr>
                <w:rFonts w:eastAsia="Times New Roman"/>
                <w:b/>
                <w:bCs/>
                <w:kern w:val="0"/>
                <w:sz w:val="20"/>
                <w:szCs w:val="20"/>
                <w:lang w:eastAsia="it-IT"/>
              </w:rPr>
              <w:t>all'articolo 157, comma 1</w:t>
            </w:r>
            <w:r w:rsidRPr="004C45EE">
              <w:rPr>
                <w:rFonts w:eastAsia="Times New Roman"/>
                <w:kern w:val="0"/>
                <w:sz w:val="20"/>
                <w:szCs w:val="20"/>
                <w:lang w:eastAsia="it-IT"/>
              </w:rPr>
              <w:t>)</w:t>
            </w:r>
          </w:p>
        </w:tc>
      </w:tr>
      <w:tr w:rsidR="004C45EE" w:rsidRPr="004C45EE" w14:paraId="24CA960E" w14:textId="77777777" w:rsidTr="004C45EE">
        <w:trPr>
          <w:trHeight w:val="765"/>
        </w:trPr>
        <w:tc>
          <w:tcPr>
            <w:tcW w:w="10180" w:type="dxa"/>
            <w:tcBorders>
              <w:top w:val="nil"/>
              <w:left w:val="nil"/>
              <w:bottom w:val="nil"/>
              <w:right w:val="nil"/>
            </w:tcBorders>
            <w:shd w:val="clear" w:color="auto" w:fill="auto"/>
            <w:hideMark/>
          </w:tcPr>
          <w:p w14:paraId="3A7B3C7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indirizzo comprensivo di codice NUTS, telefono, fax, posta elettronica e indirizzo Internet della stazione appaltante o dell’ente concedente e, se diverso, del servizio al quale rivolgersi per informazioni complementari.</w:t>
            </w:r>
          </w:p>
        </w:tc>
      </w:tr>
      <w:tr w:rsidR="004C45EE" w:rsidRPr="004C45EE" w14:paraId="0030A122" w14:textId="77777777" w:rsidTr="004C45EE">
        <w:trPr>
          <w:trHeight w:val="255"/>
        </w:trPr>
        <w:tc>
          <w:tcPr>
            <w:tcW w:w="10180" w:type="dxa"/>
            <w:tcBorders>
              <w:top w:val="nil"/>
              <w:left w:val="nil"/>
              <w:bottom w:val="nil"/>
              <w:right w:val="nil"/>
            </w:tcBorders>
            <w:shd w:val="clear" w:color="auto" w:fill="auto"/>
            <w:hideMark/>
          </w:tcPr>
          <w:p w14:paraId="0AEB4E8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Principale attività esercitata.</w:t>
            </w:r>
          </w:p>
        </w:tc>
      </w:tr>
      <w:tr w:rsidR="004C45EE" w:rsidRPr="004C45EE" w14:paraId="4282CB29" w14:textId="77777777" w:rsidTr="004C45EE">
        <w:trPr>
          <w:trHeight w:val="510"/>
        </w:trPr>
        <w:tc>
          <w:tcPr>
            <w:tcW w:w="10180" w:type="dxa"/>
            <w:tcBorders>
              <w:top w:val="nil"/>
              <w:left w:val="nil"/>
              <w:bottom w:val="nil"/>
              <w:right w:val="nil"/>
            </w:tcBorders>
            <w:shd w:val="clear" w:color="auto" w:fill="auto"/>
            <w:hideMark/>
          </w:tcPr>
          <w:p w14:paraId="64A2542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Indicare eventualmente se l'appalto è riservato a laboratori protetti o se l'esecuzione è riservata nel contesto di programmi di lavoro protetti.</w:t>
            </w:r>
          </w:p>
        </w:tc>
      </w:tr>
      <w:tr w:rsidR="004C45EE" w:rsidRPr="004C45EE" w14:paraId="01257D88" w14:textId="77777777" w:rsidTr="004C45EE">
        <w:trPr>
          <w:trHeight w:val="510"/>
        </w:trPr>
        <w:tc>
          <w:tcPr>
            <w:tcW w:w="10180" w:type="dxa"/>
            <w:tcBorders>
              <w:top w:val="nil"/>
              <w:left w:val="nil"/>
              <w:bottom w:val="nil"/>
              <w:right w:val="nil"/>
            </w:tcBorders>
            <w:shd w:val="clear" w:color="auto" w:fill="auto"/>
            <w:hideMark/>
          </w:tcPr>
          <w:p w14:paraId="2EB8C33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Natura dell'appalto (forniture, lavori o servizi; indicare, se del caso, se si tratta di un accordo quadro). Descrizione del progetto (codici CPV). Indicare</w:t>
            </w:r>
          </w:p>
        </w:tc>
      </w:tr>
      <w:tr w:rsidR="004C45EE" w:rsidRPr="004C45EE" w14:paraId="36BAAF13" w14:textId="77777777" w:rsidTr="004C45EE">
        <w:trPr>
          <w:trHeight w:val="510"/>
        </w:trPr>
        <w:tc>
          <w:tcPr>
            <w:tcW w:w="10180" w:type="dxa"/>
            <w:tcBorders>
              <w:top w:val="nil"/>
              <w:left w:val="nil"/>
              <w:bottom w:val="nil"/>
              <w:right w:val="nil"/>
            </w:tcBorders>
            <w:shd w:val="clear" w:color="auto" w:fill="auto"/>
            <w:hideMark/>
          </w:tcPr>
          <w:p w14:paraId="164D838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eventualmente se le offerte sollecitate lo sono a fini di acquisto, di locazione finanziaria, di locazione, di acquisto a riscatto o di una combinazione tra queste possibilità.</w:t>
            </w:r>
          </w:p>
        </w:tc>
      </w:tr>
      <w:tr w:rsidR="004C45EE" w:rsidRPr="004C45EE" w14:paraId="2263FC56" w14:textId="77777777" w:rsidTr="004C45EE">
        <w:trPr>
          <w:trHeight w:val="510"/>
        </w:trPr>
        <w:tc>
          <w:tcPr>
            <w:tcW w:w="10180" w:type="dxa"/>
            <w:tcBorders>
              <w:top w:val="nil"/>
              <w:left w:val="nil"/>
              <w:bottom w:val="nil"/>
              <w:right w:val="nil"/>
            </w:tcBorders>
            <w:shd w:val="clear" w:color="auto" w:fill="auto"/>
            <w:hideMark/>
          </w:tcPr>
          <w:p w14:paraId="32DB4E9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Il codice NUTS del luogo principale per l'esecuzione dei lavori nel caso di appalti di lavori o il codice NUTS del luogo principale di consegna o di prestazione per gli appalti di forniture e di servizi.</w:t>
            </w:r>
          </w:p>
        </w:tc>
      </w:tr>
      <w:tr w:rsidR="004C45EE" w:rsidRPr="004C45EE" w14:paraId="163BF365" w14:textId="77777777" w:rsidTr="004C45EE">
        <w:trPr>
          <w:trHeight w:val="255"/>
        </w:trPr>
        <w:tc>
          <w:tcPr>
            <w:tcW w:w="10180" w:type="dxa"/>
            <w:tcBorders>
              <w:top w:val="nil"/>
              <w:left w:val="nil"/>
              <w:bottom w:val="nil"/>
              <w:right w:val="nil"/>
            </w:tcBorders>
            <w:shd w:val="clear" w:color="auto" w:fill="auto"/>
            <w:hideMark/>
          </w:tcPr>
          <w:p w14:paraId="70D4292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Per le forniture e i lavori:</w:t>
            </w:r>
          </w:p>
        </w:tc>
      </w:tr>
      <w:tr w:rsidR="004C45EE" w:rsidRPr="004C45EE" w14:paraId="1EBC9AA2" w14:textId="77777777" w:rsidTr="004C45EE">
        <w:trPr>
          <w:trHeight w:val="1020"/>
        </w:trPr>
        <w:tc>
          <w:tcPr>
            <w:tcW w:w="10180" w:type="dxa"/>
            <w:tcBorders>
              <w:top w:val="nil"/>
              <w:left w:val="nil"/>
              <w:bottom w:val="nil"/>
              <w:right w:val="nil"/>
            </w:tcBorders>
            <w:shd w:val="clear" w:color="auto" w:fill="auto"/>
            <w:hideMark/>
          </w:tcPr>
          <w:p w14:paraId="14F539F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natura e quantità dei prodotti da fornire (codici CPV). Indicare tra l'altro eventuali opzioni relative ad acquisti complementari e, se possibile, il termine previsto per esercitare tali opzioni nonché il numero di eventuali rinnovi. Nel caso di appalti rinnovabili, indicare anche, se possibile, un calendario provvisorio dei successivi bandi di gara per i prodotti richiesti o la natura e l'entità delle prestazioni, nonché le caratteristiche generali dell'opera (codici CPV);</w:t>
            </w:r>
          </w:p>
        </w:tc>
      </w:tr>
      <w:tr w:rsidR="004C45EE" w:rsidRPr="004C45EE" w14:paraId="3EA9B34D" w14:textId="77777777" w:rsidTr="004C45EE">
        <w:trPr>
          <w:trHeight w:val="765"/>
        </w:trPr>
        <w:tc>
          <w:tcPr>
            <w:tcW w:w="10180" w:type="dxa"/>
            <w:tcBorders>
              <w:top w:val="nil"/>
              <w:left w:val="nil"/>
              <w:bottom w:val="nil"/>
              <w:right w:val="nil"/>
            </w:tcBorders>
            <w:shd w:val="clear" w:color="auto" w:fill="auto"/>
            <w:hideMark/>
          </w:tcPr>
          <w:p w14:paraId="448508A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indicazioni relative alla possibilità, per i fornitori, di presentare offerte per tutti i prodotti richiesti o per parte di essi. Per gli appalti di lavori, se l'opera o l'appalto è suddiviso in più lotti, l'ordine di grandezza dei vari lotti e la possibilità di presentare offerte per uno, per più o per tutti i lotti;</w:t>
            </w:r>
          </w:p>
        </w:tc>
      </w:tr>
      <w:tr w:rsidR="004C45EE" w:rsidRPr="004C45EE" w14:paraId="1D51E5E4" w14:textId="77777777" w:rsidTr="004C45EE">
        <w:trPr>
          <w:trHeight w:val="510"/>
        </w:trPr>
        <w:tc>
          <w:tcPr>
            <w:tcW w:w="10180" w:type="dxa"/>
            <w:tcBorders>
              <w:top w:val="nil"/>
              <w:left w:val="nil"/>
              <w:bottom w:val="nil"/>
              <w:right w:val="nil"/>
            </w:tcBorders>
            <w:shd w:val="clear" w:color="auto" w:fill="auto"/>
            <w:hideMark/>
          </w:tcPr>
          <w:p w14:paraId="0F50798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per gli appalti di lavori: informazioni sull'obiettivo dell'opera o dell'appalto, quando quest'ultimo comporti anche l'elaborazione di progetti.</w:t>
            </w:r>
          </w:p>
        </w:tc>
      </w:tr>
      <w:tr w:rsidR="004C45EE" w:rsidRPr="004C45EE" w14:paraId="460F3968" w14:textId="77777777" w:rsidTr="004C45EE">
        <w:trPr>
          <w:trHeight w:val="255"/>
        </w:trPr>
        <w:tc>
          <w:tcPr>
            <w:tcW w:w="10180" w:type="dxa"/>
            <w:tcBorders>
              <w:top w:val="nil"/>
              <w:left w:val="nil"/>
              <w:bottom w:val="nil"/>
              <w:right w:val="nil"/>
            </w:tcBorders>
            <w:shd w:val="clear" w:color="auto" w:fill="auto"/>
            <w:hideMark/>
          </w:tcPr>
          <w:p w14:paraId="69ED0CC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Per i servizi:</w:t>
            </w:r>
          </w:p>
        </w:tc>
      </w:tr>
      <w:tr w:rsidR="004C45EE" w:rsidRPr="004C45EE" w14:paraId="70EAD13A" w14:textId="77777777" w:rsidTr="004C45EE">
        <w:trPr>
          <w:trHeight w:val="1020"/>
        </w:trPr>
        <w:tc>
          <w:tcPr>
            <w:tcW w:w="10180" w:type="dxa"/>
            <w:tcBorders>
              <w:top w:val="nil"/>
              <w:left w:val="nil"/>
              <w:bottom w:val="nil"/>
              <w:right w:val="nil"/>
            </w:tcBorders>
            <w:shd w:val="clear" w:color="auto" w:fill="auto"/>
            <w:hideMark/>
          </w:tcPr>
          <w:p w14:paraId="511A16D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lastRenderedPageBreak/>
              <w:t>a) natura e quantità dei servizi da fornire. Indicare tra l'altro eventuali opzioni relative ad acquisti complementari e, se possibile, il termine previsto per esercitare tali opzioni nonché il numero di eventuali rinnovi. Nel caso di una serie di appalti rinnovabili, indicare anche, se possibile, un calendario provvisorio dei successivi bandi di gara per i servizi richiesti;</w:t>
            </w:r>
          </w:p>
        </w:tc>
      </w:tr>
      <w:tr w:rsidR="004C45EE" w:rsidRPr="004C45EE" w14:paraId="1C7F8579" w14:textId="77777777" w:rsidTr="004C45EE">
        <w:trPr>
          <w:trHeight w:val="510"/>
        </w:trPr>
        <w:tc>
          <w:tcPr>
            <w:tcW w:w="10180" w:type="dxa"/>
            <w:tcBorders>
              <w:top w:val="nil"/>
              <w:left w:val="nil"/>
              <w:bottom w:val="nil"/>
              <w:right w:val="nil"/>
            </w:tcBorders>
            <w:shd w:val="clear" w:color="auto" w:fill="auto"/>
            <w:hideMark/>
          </w:tcPr>
          <w:p w14:paraId="7B6994D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indicare se, in forza di disposizioni legislative, regolamentari o amministrative, la prestazione del servizio sia riservata a una particolare professione;</w:t>
            </w:r>
          </w:p>
        </w:tc>
      </w:tr>
      <w:tr w:rsidR="004C45EE" w:rsidRPr="004C45EE" w14:paraId="4D4FD32E" w14:textId="77777777" w:rsidTr="004C45EE">
        <w:trPr>
          <w:trHeight w:val="255"/>
        </w:trPr>
        <w:tc>
          <w:tcPr>
            <w:tcW w:w="10180" w:type="dxa"/>
            <w:tcBorders>
              <w:top w:val="nil"/>
              <w:left w:val="nil"/>
              <w:bottom w:val="nil"/>
              <w:right w:val="nil"/>
            </w:tcBorders>
            <w:shd w:val="clear" w:color="auto" w:fill="auto"/>
            <w:hideMark/>
          </w:tcPr>
          <w:p w14:paraId="6330418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riferimenti a disposizioni legislative, regolamentari o amministrative;</w:t>
            </w:r>
          </w:p>
        </w:tc>
      </w:tr>
      <w:tr w:rsidR="004C45EE" w:rsidRPr="004C45EE" w14:paraId="6F8B1D2B" w14:textId="77777777" w:rsidTr="004C45EE">
        <w:trPr>
          <w:trHeight w:val="510"/>
        </w:trPr>
        <w:tc>
          <w:tcPr>
            <w:tcW w:w="10180" w:type="dxa"/>
            <w:tcBorders>
              <w:top w:val="nil"/>
              <w:left w:val="nil"/>
              <w:bottom w:val="nil"/>
              <w:right w:val="nil"/>
            </w:tcBorders>
            <w:shd w:val="clear" w:color="auto" w:fill="auto"/>
            <w:hideMark/>
          </w:tcPr>
          <w:p w14:paraId="0A65697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 indicare se le persone giuridiche sono tenute a indicare il nome e le qualifiche professionali del personale incaricato della prestazione del servizio;</w:t>
            </w:r>
          </w:p>
        </w:tc>
      </w:tr>
      <w:tr w:rsidR="004C45EE" w:rsidRPr="004C45EE" w14:paraId="3C35A9F9" w14:textId="77777777" w:rsidTr="004C45EE">
        <w:trPr>
          <w:trHeight w:val="255"/>
        </w:trPr>
        <w:tc>
          <w:tcPr>
            <w:tcW w:w="10180" w:type="dxa"/>
            <w:tcBorders>
              <w:top w:val="nil"/>
              <w:left w:val="nil"/>
              <w:bottom w:val="nil"/>
              <w:right w:val="nil"/>
            </w:tcBorders>
            <w:shd w:val="clear" w:color="auto" w:fill="auto"/>
            <w:hideMark/>
          </w:tcPr>
          <w:p w14:paraId="46EAE3E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e) indicare se i prestatori possono presentare offerte per una parte dei servizi in questione.</w:t>
            </w:r>
          </w:p>
        </w:tc>
      </w:tr>
      <w:tr w:rsidR="004C45EE" w:rsidRPr="004C45EE" w14:paraId="69B08590" w14:textId="77777777" w:rsidTr="004C45EE">
        <w:trPr>
          <w:trHeight w:val="255"/>
        </w:trPr>
        <w:tc>
          <w:tcPr>
            <w:tcW w:w="10180" w:type="dxa"/>
            <w:tcBorders>
              <w:top w:val="nil"/>
              <w:left w:val="nil"/>
              <w:bottom w:val="nil"/>
              <w:right w:val="nil"/>
            </w:tcBorders>
            <w:shd w:val="clear" w:color="auto" w:fill="auto"/>
            <w:hideMark/>
          </w:tcPr>
          <w:p w14:paraId="71C690D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Indicare, se noto, se la presentazione di varianti è autorizzata o meno.</w:t>
            </w:r>
          </w:p>
        </w:tc>
      </w:tr>
      <w:tr w:rsidR="004C45EE" w:rsidRPr="004C45EE" w14:paraId="1FEADC37" w14:textId="77777777" w:rsidTr="004C45EE">
        <w:trPr>
          <w:trHeight w:val="255"/>
        </w:trPr>
        <w:tc>
          <w:tcPr>
            <w:tcW w:w="10180" w:type="dxa"/>
            <w:tcBorders>
              <w:top w:val="nil"/>
              <w:left w:val="nil"/>
              <w:bottom w:val="nil"/>
              <w:right w:val="nil"/>
            </w:tcBorders>
            <w:shd w:val="clear" w:color="auto" w:fill="auto"/>
            <w:hideMark/>
          </w:tcPr>
          <w:p w14:paraId="3400DB5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9. Termine di consegna o di esecuzione o durata dell'appalto e, se possibile, data di inizio.</w:t>
            </w:r>
          </w:p>
        </w:tc>
      </w:tr>
      <w:tr w:rsidR="004C45EE" w:rsidRPr="004C45EE" w14:paraId="28C23B9B" w14:textId="77777777" w:rsidTr="004C45EE">
        <w:trPr>
          <w:trHeight w:val="510"/>
        </w:trPr>
        <w:tc>
          <w:tcPr>
            <w:tcW w:w="10180" w:type="dxa"/>
            <w:tcBorders>
              <w:top w:val="nil"/>
              <w:left w:val="nil"/>
              <w:bottom w:val="nil"/>
              <w:right w:val="nil"/>
            </w:tcBorders>
            <w:shd w:val="clear" w:color="auto" w:fill="auto"/>
            <w:hideMark/>
          </w:tcPr>
          <w:p w14:paraId="100EF46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10. Eventualmente, forma giuridica che dovrà assumere il raggruppamento di operatori economici, cui sia aggiudicato l'appalto.</w:t>
            </w:r>
          </w:p>
        </w:tc>
      </w:tr>
      <w:tr w:rsidR="004C45EE" w:rsidRPr="004C45EE" w14:paraId="3821D4EF" w14:textId="77777777" w:rsidTr="004C45EE">
        <w:trPr>
          <w:trHeight w:val="255"/>
        </w:trPr>
        <w:tc>
          <w:tcPr>
            <w:tcW w:w="10180" w:type="dxa"/>
            <w:tcBorders>
              <w:top w:val="nil"/>
              <w:left w:val="nil"/>
              <w:bottom w:val="nil"/>
              <w:right w:val="nil"/>
            </w:tcBorders>
            <w:shd w:val="clear" w:color="auto" w:fill="auto"/>
            <w:hideMark/>
          </w:tcPr>
          <w:p w14:paraId="3E75614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11. Indicare:</w:t>
            </w:r>
          </w:p>
        </w:tc>
      </w:tr>
      <w:tr w:rsidR="004C45EE" w:rsidRPr="004C45EE" w14:paraId="6A82DFB1" w14:textId="77777777" w:rsidTr="004C45EE">
        <w:trPr>
          <w:trHeight w:val="255"/>
        </w:trPr>
        <w:tc>
          <w:tcPr>
            <w:tcW w:w="10180" w:type="dxa"/>
            <w:tcBorders>
              <w:top w:val="nil"/>
              <w:left w:val="nil"/>
              <w:bottom w:val="nil"/>
              <w:right w:val="nil"/>
            </w:tcBorders>
            <w:shd w:val="clear" w:color="auto" w:fill="auto"/>
            <w:hideMark/>
          </w:tcPr>
          <w:p w14:paraId="04F29D2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termine ultimo di ricevimento delle domande di partecipazione;</w:t>
            </w:r>
          </w:p>
        </w:tc>
      </w:tr>
      <w:tr w:rsidR="004C45EE" w:rsidRPr="004C45EE" w14:paraId="71BC2578" w14:textId="77777777" w:rsidTr="004C45EE">
        <w:trPr>
          <w:trHeight w:val="255"/>
        </w:trPr>
        <w:tc>
          <w:tcPr>
            <w:tcW w:w="10180" w:type="dxa"/>
            <w:tcBorders>
              <w:top w:val="nil"/>
              <w:left w:val="nil"/>
              <w:bottom w:val="nil"/>
              <w:right w:val="nil"/>
            </w:tcBorders>
            <w:shd w:val="clear" w:color="auto" w:fill="auto"/>
            <w:hideMark/>
          </w:tcPr>
          <w:p w14:paraId="39CC67F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indirizzo al quale inviarle;</w:t>
            </w:r>
          </w:p>
        </w:tc>
      </w:tr>
      <w:tr w:rsidR="004C45EE" w:rsidRPr="004C45EE" w14:paraId="5E5F585B" w14:textId="77777777" w:rsidTr="004C45EE">
        <w:trPr>
          <w:trHeight w:val="255"/>
        </w:trPr>
        <w:tc>
          <w:tcPr>
            <w:tcW w:w="10180" w:type="dxa"/>
            <w:tcBorders>
              <w:top w:val="nil"/>
              <w:left w:val="nil"/>
              <w:bottom w:val="nil"/>
              <w:right w:val="nil"/>
            </w:tcBorders>
            <w:shd w:val="clear" w:color="auto" w:fill="auto"/>
            <w:hideMark/>
          </w:tcPr>
          <w:p w14:paraId="59F6712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lingua o lingue in cui devono essere redatte.</w:t>
            </w:r>
          </w:p>
        </w:tc>
      </w:tr>
      <w:tr w:rsidR="004C45EE" w:rsidRPr="004C45EE" w14:paraId="06B1513D" w14:textId="77777777" w:rsidTr="004C45EE">
        <w:trPr>
          <w:trHeight w:val="255"/>
        </w:trPr>
        <w:tc>
          <w:tcPr>
            <w:tcW w:w="10180" w:type="dxa"/>
            <w:tcBorders>
              <w:top w:val="nil"/>
              <w:left w:val="nil"/>
              <w:bottom w:val="nil"/>
              <w:right w:val="nil"/>
            </w:tcBorders>
            <w:shd w:val="clear" w:color="auto" w:fill="auto"/>
            <w:hideMark/>
          </w:tcPr>
          <w:p w14:paraId="0ACD729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12. Eventualmente, cauzioni e altre forme di garanzia richieste.</w:t>
            </w:r>
          </w:p>
        </w:tc>
      </w:tr>
      <w:tr w:rsidR="004C45EE" w:rsidRPr="004C45EE" w14:paraId="4AD87DCE" w14:textId="77777777" w:rsidTr="004C45EE">
        <w:trPr>
          <w:trHeight w:val="255"/>
        </w:trPr>
        <w:tc>
          <w:tcPr>
            <w:tcW w:w="10180" w:type="dxa"/>
            <w:tcBorders>
              <w:top w:val="nil"/>
              <w:left w:val="nil"/>
              <w:bottom w:val="nil"/>
              <w:right w:val="nil"/>
            </w:tcBorders>
            <w:shd w:val="clear" w:color="auto" w:fill="auto"/>
            <w:hideMark/>
          </w:tcPr>
          <w:p w14:paraId="5B8650D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13. Modalità essenziali di finanziamento e di pagamento o riferimenti alle disposizioni in materia.</w:t>
            </w:r>
          </w:p>
        </w:tc>
      </w:tr>
      <w:tr w:rsidR="004C45EE" w:rsidRPr="004C45EE" w14:paraId="555BFBD5" w14:textId="77777777" w:rsidTr="004C45EE">
        <w:trPr>
          <w:trHeight w:val="510"/>
        </w:trPr>
        <w:tc>
          <w:tcPr>
            <w:tcW w:w="10180" w:type="dxa"/>
            <w:tcBorders>
              <w:top w:val="nil"/>
              <w:left w:val="nil"/>
              <w:bottom w:val="nil"/>
              <w:right w:val="nil"/>
            </w:tcBorders>
            <w:shd w:val="clear" w:color="auto" w:fill="auto"/>
            <w:hideMark/>
          </w:tcPr>
          <w:p w14:paraId="6E5F340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14. Informazioni riguardanti la situazione propria dell'operatore economico e i requisiti minimi di carattere economico e tecnico che deve soddisfare.</w:t>
            </w:r>
          </w:p>
        </w:tc>
      </w:tr>
      <w:tr w:rsidR="004C45EE" w:rsidRPr="004C45EE" w14:paraId="55FAAD87" w14:textId="77777777" w:rsidTr="004C45EE">
        <w:trPr>
          <w:trHeight w:val="1020"/>
        </w:trPr>
        <w:tc>
          <w:tcPr>
            <w:tcW w:w="10180" w:type="dxa"/>
            <w:tcBorders>
              <w:top w:val="nil"/>
              <w:left w:val="nil"/>
              <w:bottom w:val="nil"/>
              <w:right w:val="nil"/>
            </w:tcBorders>
            <w:shd w:val="clear" w:color="auto" w:fill="auto"/>
            <w:hideMark/>
          </w:tcPr>
          <w:p w14:paraId="44D90DF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15. Criteri che saranno utilizzati per l'aggiudicazione dell'appalto. Salvo nel caso in cui l'offerta economicamente più vantaggiosa è individuata sulla base del solo prezzo, i criteri per determinare l'offerta economicamente più vantaggiosa nonché la ponderazione a essi attribuita o, se del caso, la gerarchia di applicazione degli stessi sono indicati qualora non figurino nel capitolato d'oneri o non ne sia previsto l'inserimento nell'invito a negoziare.</w:t>
            </w:r>
          </w:p>
        </w:tc>
      </w:tr>
      <w:tr w:rsidR="004C45EE" w:rsidRPr="004C45EE" w14:paraId="05E98673" w14:textId="77777777" w:rsidTr="004C45EE">
        <w:trPr>
          <w:trHeight w:val="255"/>
        </w:trPr>
        <w:tc>
          <w:tcPr>
            <w:tcW w:w="10180" w:type="dxa"/>
            <w:tcBorders>
              <w:top w:val="nil"/>
              <w:left w:val="nil"/>
              <w:bottom w:val="nil"/>
              <w:right w:val="nil"/>
            </w:tcBorders>
            <w:shd w:val="clear" w:color="auto" w:fill="auto"/>
            <w:hideMark/>
          </w:tcPr>
          <w:p w14:paraId="0CDFEF3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16. Eventualmente, nomi e indirizzi di operatori economici già selezionati dall'ente aggiudicatore.</w:t>
            </w:r>
          </w:p>
        </w:tc>
      </w:tr>
      <w:tr w:rsidR="004C45EE" w:rsidRPr="004C45EE" w14:paraId="6D0914A9" w14:textId="77777777" w:rsidTr="004C45EE">
        <w:trPr>
          <w:trHeight w:val="255"/>
        </w:trPr>
        <w:tc>
          <w:tcPr>
            <w:tcW w:w="10180" w:type="dxa"/>
            <w:tcBorders>
              <w:top w:val="nil"/>
              <w:left w:val="nil"/>
              <w:bottom w:val="nil"/>
              <w:right w:val="nil"/>
            </w:tcBorders>
            <w:shd w:val="clear" w:color="auto" w:fill="auto"/>
            <w:hideMark/>
          </w:tcPr>
          <w:p w14:paraId="6AD79F5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17. Eventualmente, le condizioni particolari cui è sottoposta la realizzazione dell'appalto.</w:t>
            </w:r>
          </w:p>
        </w:tc>
      </w:tr>
      <w:tr w:rsidR="004C45EE" w:rsidRPr="004C45EE" w14:paraId="642F9B5D" w14:textId="77777777" w:rsidTr="004C45EE">
        <w:trPr>
          <w:trHeight w:val="765"/>
        </w:trPr>
        <w:tc>
          <w:tcPr>
            <w:tcW w:w="10180" w:type="dxa"/>
            <w:tcBorders>
              <w:top w:val="nil"/>
              <w:left w:val="nil"/>
              <w:bottom w:val="nil"/>
              <w:right w:val="nil"/>
            </w:tcBorders>
            <w:shd w:val="clear" w:color="auto" w:fill="auto"/>
            <w:hideMark/>
          </w:tcPr>
          <w:p w14:paraId="106A970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18. Eventualmente, la data o le date e il riferimento o i riferimenti alla pubblicazione nella Gazzetta ufficiale dell'Unione europea o nella Gazzetta Ufficiale della Repubblica italiana dell'avviso periodico o dell'avviso che annuncia la pubblicazione di tale avviso nel «profilo di committente» cui si riferisce l'appalto.</w:t>
            </w:r>
          </w:p>
        </w:tc>
      </w:tr>
      <w:tr w:rsidR="004C45EE" w:rsidRPr="004C45EE" w14:paraId="61B0A1DB" w14:textId="77777777" w:rsidTr="004C45EE">
        <w:trPr>
          <w:trHeight w:val="765"/>
        </w:trPr>
        <w:tc>
          <w:tcPr>
            <w:tcW w:w="10180" w:type="dxa"/>
            <w:tcBorders>
              <w:top w:val="nil"/>
              <w:left w:val="nil"/>
              <w:bottom w:val="nil"/>
              <w:right w:val="nil"/>
            </w:tcBorders>
            <w:shd w:val="clear" w:color="auto" w:fill="auto"/>
            <w:hideMark/>
          </w:tcPr>
          <w:p w14:paraId="116819C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19. Denominazione e indirizzo dell'organo competente per le procedure di ricorso e, se del caso, di mediazione. Precisazioni dei termini per la proposizione di ricorsi o, se necessario, denominazione, indirizzo, numero di telefono, di fax e indirizzo elettronico del servizio presso il quale l'informazione in questione può essere richiesta.</w:t>
            </w:r>
          </w:p>
        </w:tc>
      </w:tr>
      <w:tr w:rsidR="004C45EE" w:rsidRPr="004C45EE" w14:paraId="7DCB69C3" w14:textId="77777777" w:rsidTr="004C45EE">
        <w:trPr>
          <w:trHeight w:val="255"/>
        </w:trPr>
        <w:tc>
          <w:tcPr>
            <w:tcW w:w="10180" w:type="dxa"/>
            <w:tcBorders>
              <w:top w:val="nil"/>
              <w:left w:val="nil"/>
              <w:bottom w:val="nil"/>
              <w:right w:val="nil"/>
            </w:tcBorders>
            <w:shd w:val="clear" w:color="auto" w:fill="auto"/>
            <w:hideMark/>
          </w:tcPr>
          <w:p w14:paraId="503E36D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20. Data di spedizione dell'avviso o del bando di gara da parte dell'ente aggiudicatore.</w:t>
            </w:r>
          </w:p>
        </w:tc>
      </w:tr>
      <w:tr w:rsidR="004C45EE" w:rsidRPr="004C45EE" w14:paraId="078E2CE1" w14:textId="77777777" w:rsidTr="004C45EE">
        <w:trPr>
          <w:trHeight w:val="255"/>
        </w:trPr>
        <w:tc>
          <w:tcPr>
            <w:tcW w:w="10180" w:type="dxa"/>
            <w:tcBorders>
              <w:top w:val="nil"/>
              <w:left w:val="nil"/>
              <w:bottom w:val="nil"/>
              <w:right w:val="nil"/>
            </w:tcBorders>
            <w:shd w:val="clear" w:color="auto" w:fill="auto"/>
            <w:hideMark/>
          </w:tcPr>
          <w:p w14:paraId="7FA567D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21. Altre eventuali informazioni.</w:t>
            </w:r>
          </w:p>
        </w:tc>
      </w:tr>
      <w:tr w:rsidR="004C45EE" w:rsidRPr="004C45EE" w14:paraId="198E6808" w14:textId="77777777" w:rsidTr="004C45EE">
        <w:trPr>
          <w:trHeight w:val="510"/>
        </w:trPr>
        <w:tc>
          <w:tcPr>
            <w:tcW w:w="10180" w:type="dxa"/>
            <w:tcBorders>
              <w:top w:val="nil"/>
              <w:left w:val="nil"/>
              <w:bottom w:val="nil"/>
              <w:right w:val="nil"/>
            </w:tcBorders>
            <w:shd w:val="clear" w:color="auto" w:fill="auto"/>
            <w:hideMark/>
          </w:tcPr>
          <w:p w14:paraId="745C7200"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SEZIONE G – Informazioni che devono figurare negli avvisi relativi agli appalti aggiudicati (di cui all’articolo 163, comma 2)</w:t>
            </w:r>
          </w:p>
        </w:tc>
      </w:tr>
      <w:tr w:rsidR="004C45EE" w:rsidRPr="004C45EE" w14:paraId="4DE6149D" w14:textId="77777777" w:rsidTr="004C45EE">
        <w:trPr>
          <w:trHeight w:val="255"/>
        </w:trPr>
        <w:tc>
          <w:tcPr>
            <w:tcW w:w="10180" w:type="dxa"/>
            <w:tcBorders>
              <w:top w:val="nil"/>
              <w:left w:val="nil"/>
              <w:bottom w:val="nil"/>
              <w:right w:val="nil"/>
            </w:tcBorders>
            <w:shd w:val="clear" w:color="auto" w:fill="auto"/>
            <w:hideMark/>
          </w:tcPr>
          <w:p w14:paraId="0739C277"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I. Informazioni per la pubblicazione nella Gazzetta ufficiale dell'Unione europea</w:t>
            </w:r>
          </w:p>
        </w:tc>
      </w:tr>
      <w:tr w:rsidR="004C45EE" w:rsidRPr="004C45EE" w14:paraId="513429DB" w14:textId="77777777" w:rsidTr="004C45EE">
        <w:trPr>
          <w:trHeight w:val="765"/>
        </w:trPr>
        <w:tc>
          <w:tcPr>
            <w:tcW w:w="10180" w:type="dxa"/>
            <w:tcBorders>
              <w:top w:val="nil"/>
              <w:left w:val="nil"/>
              <w:bottom w:val="nil"/>
              <w:right w:val="nil"/>
            </w:tcBorders>
            <w:shd w:val="clear" w:color="auto" w:fill="auto"/>
            <w:hideMark/>
          </w:tcPr>
          <w:p w14:paraId="0EB1AC8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dalla legislazione nazionale), indirizzo comprensivo di codice NUTS, telefono, fax, posta elettronica e indirizzo Internet della stazione appaltante o dell’ente concedente e, se diverso, del servizio al quale rivolgersi per informazioni complementari.</w:t>
            </w:r>
          </w:p>
        </w:tc>
      </w:tr>
      <w:tr w:rsidR="004C45EE" w:rsidRPr="004C45EE" w14:paraId="1D7C68A9" w14:textId="77777777" w:rsidTr="004C45EE">
        <w:trPr>
          <w:trHeight w:val="255"/>
        </w:trPr>
        <w:tc>
          <w:tcPr>
            <w:tcW w:w="10180" w:type="dxa"/>
            <w:tcBorders>
              <w:top w:val="nil"/>
              <w:left w:val="nil"/>
              <w:bottom w:val="nil"/>
              <w:right w:val="nil"/>
            </w:tcBorders>
            <w:shd w:val="clear" w:color="auto" w:fill="auto"/>
            <w:hideMark/>
          </w:tcPr>
          <w:p w14:paraId="5936919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Principale attività esercitata.</w:t>
            </w:r>
          </w:p>
        </w:tc>
      </w:tr>
      <w:tr w:rsidR="004C45EE" w:rsidRPr="004C45EE" w14:paraId="35E4C0D6" w14:textId="77777777" w:rsidTr="004C45EE">
        <w:trPr>
          <w:trHeight w:val="255"/>
        </w:trPr>
        <w:tc>
          <w:tcPr>
            <w:tcW w:w="10180" w:type="dxa"/>
            <w:tcBorders>
              <w:top w:val="nil"/>
              <w:left w:val="nil"/>
              <w:bottom w:val="nil"/>
              <w:right w:val="nil"/>
            </w:tcBorders>
            <w:shd w:val="clear" w:color="auto" w:fill="auto"/>
            <w:hideMark/>
          </w:tcPr>
          <w:p w14:paraId="48C7D93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Tipo di appalto (forniture, lavori o servizi e codici CPV; indicare eventualmente se si tratta di un accordo quadro).</w:t>
            </w:r>
          </w:p>
        </w:tc>
      </w:tr>
      <w:tr w:rsidR="004C45EE" w:rsidRPr="004C45EE" w14:paraId="18A2B9F1" w14:textId="77777777" w:rsidTr="004C45EE">
        <w:trPr>
          <w:trHeight w:val="255"/>
        </w:trPr>
        <w:tc>
          <w:tcPr>
            <w:tcW w:w="10180" w:type="dxa"/>
            <w:tcBorders>
              <w:top w:val="nil"/>
              <w:left w:val="nil"/>
              <w:bottom w:val="nil"/>
              <w:right w:val="nil"/>
            </w:tcBorders>
            <w:shd w:val="clear" w:color="auto" w:fill="auto"/>
            <w:hideMark/>
          </w:tcPr>
          <w:p w14:paraId="23C6B1E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Indicazione succinta del tipo e della quantità di prodotti, lavori o servizi forniti.</w:t>
            </w:r>
          </w:p>
        </w:tc>
      </w:tr>
      <w:tr w:rsidR="004C45EE" w:rsidRPr="004C45EE" w14:paraId="3BF44E8B" w14:textId="77777777" w:rsidTr="004C45EE">
        <w:trPr>
          <w:trHeight w:val="255"/>
        </w:trPr>
        <w:tc>
          <w:tcPr>
            <w:tcW w:w="10180" w:type="dxa"/>
            <w:tcBorders>
              <w:top w:val="nil"/>
              <w:left w:val="nil"/>
              <w:bottom w:val="nil"/>
              <w:right w:val="nil"/>
            </w:tcBorders>
            <w:shd w:val="clear" w:color="auto" w:fill="auto"/>
            <w:hideMark/>
          </w:tcPr>
          <w:p w14:paraId="35C404A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Indicare:</w:t>
            </w:r>
          </w:p>
        </w:tc>
      </w:tr>
      <w:tr w:rsidR="004C45EE" w:rsidRPr="004C45EE" w14:paraId="181E2E17" w14:textId="77777777" w:rsidTr="004C45EE">
        <w:trPr>
          <w:trHeight w:val="255"/>
        </w:trPr>
        <w:tc>
          <w:tcPr>
            <w:tcW w:w="10180" w:type="dxa"/>
            <w:tcBorders>
              <w:top w:val="nil"/>
              <w:left w:val="nil"/>
              <w:bottom w:val="nil"/>
              <w:right w:val="nil"/>
            </w:tcBorders>
            <w:shd w:val="clear" w:color="auto" w:fill="auto"/>
            <w:hideMark/>
          </w:tcPr>
          <w:p w14:paraId="2676015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forma di indizione della gara (avviso relativo al sistema di qualificazione, avviso periodico, avviso di gara);</w:t>
            </w:r>
          </w:p>
        </w:tc>
      </w:tr>
      <w:tr w:rsidR="004C45EE" w:rsidRPr="004C45EE" w14:paraId="60D3F92B" w14:textId="77777777" w:rsidTr="004C45EE">
        <w:trPr>
          <w:trHeight w:val="255"/>
        </w:trPr>
        <w:tc>
          <w:tcPr>
            <w:tcW w:w="10180" w:type="dxa"/>
            <w:tcBorders>
              <w:top w:val="nil"/>
              <w:left w:val="nil"/>
              <w:bottom w:val="nil"/>
              <w:right w:val="nil"/>
            </w:tcBorders>
            <w:shd w:val="clear" w:color="auto" w:fill="auto"/>
            <w:hideMark/>
          </w:tcPr>
          <w:p w14:paraId="58DAE6C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date e riferimenti della pubblicazione dell'avviso nella Gazzetta ufficiale dell'Unione europea;</w:t>
            </w:r>
          </w:p>
        </w:tc>
      </w:tr>
      <w:tr w:rsidR="004C45EE" w:rsidRPr="004C45EE" w14:paraId="1C46AC5E" w14:textId="77777777" w:rsidTr="004C45EE">
        <w:trPr>
          <w:trHeight w:val="255"/>
        </w:trPr>
        <w:tc>
          <w:tcPr>
            <w:tcW w:w="10180" w:type="dxa"/>
            <w:tcBorders>
              <w:top w:val="nil"/>
              <w:left w:val="nil"/>
              <w:bottom w:val="nil"/>
              <w:right w:val="nil"/>
            </w:tcBorders>
            <w:shd w:val="clear" w:color="auto" w:fill="auto"/>
            <w:hideMark/>
          </w:tcPr>
          <w:p w14:paraId="3F0ACC2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nel caso di appalti aggiudicati senza previa indizione di gara, indicare la disposizione pertinente dell'articolo 158.</w:t>
            </w:r>
          </w:p>
        </w:tc>
      </w:tr>
      <w:tr w:rsidR="004C45EE" w:rsidRPr="004C45EE" w14:paraId="23820D8A" w14:textId="77777777" w:rsidTr="004C45EE">
        <w:trPr>
          <w:trHeight w:val="255"/>
        </w:trPr>
        <w:tc>
          <w:tcPr>
            <w:tcW w:w="10180" w:type="dxa"/>
            <w:tcBorders>
              <w:top w:val="nil"/>
              <w:left w:val="nil"/>
              <w:bottom w:val="nil"/>
              <w:right w:val="nil"/>
            </w:tcBorders>
            <w:shd w:val="clear" w:color="auto" w:fill="auto"/>
            <w:hideMark/>
          </w:tcPr>
          <w:p w14:paraId="5E4F4E7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Procedura di appalto (procedura aperta, ristretta o negoziata).</w:t>
            </w:r>
          </w:p>
        </w:tc>
      </w:tr>
      <w:tr w:rsidR="004C45EE" w:rsidRPr="004C45EE" w14:paraId="042B8FA8" w14:textId="77777777" w:rsidTr="004C45EE">
        <w:trPr>
          <w:trHeight w:val="255"/>
        </w:trPr>
        <w:tc>
          <w:tcPr>
            <w:tcW w:w="10180" w:type="dxa"/>
            <w:tcBorders>
              <w:top w:val="nil"/>
              <w:left w:val="nil"/>
              <w:bottom w:val="nil"/>
              <w:right w:val="nil"/>
            </w:tcBorders>
            <w:shd w:val="clear" w:color="auto" w:fill="auto"/>
            <w:hideMark/>
          </w:tcPr>
          <w:p w14:paraId="4F4E269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Numero di offerte ricevute, precisando quanto segue:</w:t>
            </w:r>
          </w:p>
        </w:tc>
      </w:tr>
      <w:tr w:rsidR="004C45EE" w:rsidRPr="004C45EE" w14:paraId="35C3C117" w14:textId="77777777" w:rsidTr="004C45EE">
        <w:trPr>
          <w:trHeight w:val="255"/>
        </w:trPr>
        <w:tc>
          <w:tcPr>
            <w:tcW w:w="10180" w:type="dxa"/>
            <w:tcBorders>
              <w:top w:val="nil"/>
              <w:left w:val="nil"/>
              <w:bottom w:val="nil"/>
              <w:right w:val="nil"/>
            </w:tcBorders>
            <w:shd w:val="clear" w:color="auto" w:fill="auto"/>
            <w:hideMark/>
          </w:tcPr>
          <w:p w14:paraId="1632CBD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numero di offerte ricevute da operatori economici costituiti da PMI;</w:t>
            </w:r>
          </w:p>
        </w:tc>
      </w:tr>
      <w:tr w:rsidR="004C45EE" w:rsidRPr="004C45EE" w14:paraId="1626F876" w14:textId="77777777" w:rsidTr="004C45EE">
        <w:trPr>
          <w:trHeight w:val="255"/>
        </w:trPr>
        <w:tc>
          <w:tcPr>
            <w:tcW w:w="10180" w:type="dxa"/>
            <w:tcBorders>
              <w:top w:val="nil"/>
              <w:left w:val="nil"/>
              <w:bottom w:val="nil"/>
              <w:right w:val="nil"/>
            </w:tcBorders>
            <w:shd w:val="clear" w:color="auto" w:fill="auto"/>
            <w:hideMark/>
          </w:tcPr>
          <w:p w14:paraId="31D3671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numero di offerte ricevute dall'estero;</w:t>
            </w:r>
          </w:p>
        </w:tc>
      </w:tr>
      <w:tr w:rsidR="004C45EE" w:rsidRPr="004C45EE" w14:paraId="295A93E7" w14:textId="77777777" w:rsidTr="004C45EE">
        <w:trPr>
          <w:trHeight w:val="255"/>
        </w:trPr>
        <w:tc>
          <w:tcPr>
            <w:tcW w:w="10180" w:type="dxa"/>
            <w:tcBorders>
              <w:top w:val="nil"/>
              <w:left w:val="nil"/>
              <w:bottom w:val="nil"/>
              <w:right w:val="nil"/>
            </w:tcBorders>
            <w:shd w:val="clear" w:color="auto" w:fill="auto"/>
            <w:hideMark/>
          </w:tcPr>
          <w:p w14:paraId="70167A3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numero di offerte ricevute per via elettronica.</w:t>
            </w:r>
          </w:p>
        </w:tc>
      </w:tr>
      <w:tr w:rsidR="004C45EE" w:rsidRPr="004C45EE" w14:paraId="0621BEEB" w14:textId="77777777" w:rsidTr="004C45EE">
        <w:trPr>
          <w:trHeight w:val="255"/>
        </w:trPr>
        <w:tc>
          <w:tcPr>
            <w:tcW w:w="10180" w:type="dxa"/>
            <w:tcBorders>
              <w:top w:val="nil"/>
              <w:left w:val="nil"/>
              <w:bottom w:val="nil"/>
              <w:right w:val="nil"/>
            </w:tcBorders>
            <w:shd w:val="clear" w:color="auto" w:fill="auto"/>
            <w:hideMark/>
          </w:tcPr>
          <w:p w14:paraId="12E8C03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Nel caso di più aggiudicazioni (lotti, contratti quadro multipli), tali informazioni sono fornite per ogni aggiudicazione.</w:t>
            </w:r>
          </w:p>
        </w:tc>
      </w:tr>
      <w:tr w:rsidR="004C45EE" w:rsidRPr="004C45EE" w14:paraId="130752AA" w14:textId="77777777" w:rsidTr="004C45EE">
        <w:trPr>
          <w:trHeight w:val="255"/>
        </w:trPr>
        <w:tc>
          <w:tcPr>
            <w:tcW w:w="10180" w:type="dxa"/>
            <w:tcBorders>
              <w:top w:val="nil"/>
              <w:left w:val="nil"/>
              <w:bottom w:val="nil"/>
              <w:right w:val="nil"/>
            </w:tcBorders>
            <w:shd w:val="clear" w:color="auto" w:fill="auto"/>
            <w:hideMark/>
          </w:tcPr>
          <w:p w14:paraId="57A5E9C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Data di conclusione dei contratti o degli accordi quadro a seguito della decisione di aggiudicazione o conclusione.</w:t>
            </w:r>
          </w:p>
        </w:tc>
      </w:tr>
      <w:tr w:rsidR="004C45EE" w:rsidRPr="004C45EE" w14:paraId="296A04C8" w14:textId="77777777" w:rsidTr="004C45EE">
        <w:trPr>
          <w:trHeight w:val="255"/>
        </w:trPr>
        <w:tc>
          <w:tcPr>
            <w:tcW w:w="10180" w:type="dxa"/>
            <w:tcBorders>
              <w:top w:val="nil"/>
              <w:left w:val="nil"/>
              <w:bottom w:val="nil"/>
              <w:right w:val="nil"/>
            </w:tcBorders>
            <w:shd w:val="clear" w:color="auto" w:fill="auto"/>
            <w:hideMark/>
          </w:tcPr>
          <w:p w14:paraId="1AFAFA8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lastRenderedPageBreak/>
              <w:t>9. Prezzo pagato per gli acquisti d'opportunità effettuati in virtù dell'articolo 158, lettera h).</w:t>
            </w:r>
          </w:p>
        </w:tc>
      </w:tr>
      <w:tr w:rsidR="004C45EE" w:rsidRPr="004C45EE" w14:paraId="15CCB8B2" w14:textId="77777777" w:rsidTr="004C45EE">
        <w:trPr>
          <w:trHeight w:val="510"/>
        </w:trPr>
        <w:tc>
          <w:tcPr>
            <w:tcW w:w="10180" w:type="dxa"/>
            <w:tcBorders>
              <w:top w:val="nil"/>
              <w:left w:val="nil"/>
              <w:bottom w:val="nil"/>
              <w:right w:val="nil"/>
            </w:tcBorders>
            <w:shd w:val="clear" w:color="auto" w:fill="auto"/>
            <w:hideMark/>
          </w:tcPr>
          <w:p w14:paraId="63462A2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10. Per ciascuna aggiudicazione: nome, indirizzo comprensivo di codice NUTS, telefono, fax, posta elettronica e indirizzo Internet dell'aggiudicatario o degli aggiudicatari, comprese:</w:t>
            </w:r>
          </w:p>
        </w:tc>
      </w:tr>
      <w:tr w:rsidR="004C45EE" w:rsidRPr="004C45EE" w14:paraId="5D9E676F" w14:textId="77777777" w:rsidTr="004C45EE">
        <w:trPr>
          <w:trHeight w:val="255"/>
        </w:trPr>
        <w:tc>
          <w:tcPr>
            <w:tcW w:w="10180" w:type="dxa"/>
            <w:tcBorders>
              <w:top w:val="nil"/>
              <w:left w:val="nil"/>
              <w:bottom w:val="nil"/>
              <w:right w:val="nil"/>
            </w:tcBorders>
            <w:shd w:val="clear" w:color="auto" w:fill="auto"/>
            <w:hideMark/>
          </w:tcPr>
          <w:p w14:paraId="69D64EE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informazioni che specificano se l'aggiudicatario è una PMI;</w:t>
            </w:r>
          </w:p>
        </w:tc>
      </w:tr>
      <w:tr w:rsidR="004C45EE" w:rsidRPr="004C45EE" w14:paraId="2383B1F2" w14:textId="77777777" w:rsidTr="004C45EE">
        <w:trPr>
          <w:trHeight w:val="255"/>
        </w:trPr>
        <w:tc>
          <w:tcPr>
            <w:tcW w:w="10180" w:type="dxa"/>
            <w:tcBorders>
              <w:top w:val="nil"/>
              <w:left w:val="nil"/>
              <w:bottom w:val="nil"/>
              <w:right w:val="nil"/>
            </w:tcBorders>
            <w:shd w:val="clear" w:color="auto" w:fill="auto"/>
            <w:hideMark/>
          </w:tcPr>
          <w:p w14:paraId="20F2F3E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informazioni che specificano se l'appalto è stato aggiudicato a un consorzio.</w:t>
            </w:r>
          </w:p>
        </w:tc>
      </w:tr>
      <w:tr w:rsidR="004C45EE" w:rsidRPr="004C45EE" w14:paraId="6FCFD1E3" w14:textId="77777777" w:rsidTr="004C45EE">
        <w:trPr>
          <w:trHeight w:val="255"/>
        </w:trPr>
        <w:tc>
          <w:tcPr>
            <w:tcW w:w="10180" w:type="dxa"/>
            <w:tcBorders>
              <w:top w:val="nil"/>
              <w:left w:val="nil"/>
              <w:bottom w:val="nil"/>
              <w:right w:val="nil"/>
            </w:tcBorders>
            <w:shd w:val="clear" w:color="auto" w:fill="auto"/>
            <w:hideMark/>
          </w:tcPr>
          <w:p w14:paraId="0E4E604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11. Indicare, eventualmente, se l'appalto è stato o può essere subappaltato.</w:t>
            </w:r>
          </w:p>
        </w:tc>
      </w:tr>
      <w:tr w:rsidR="004C45EE" w:rsidRPr="004C45EE" w14:paraId="1C733D0F" w14:textId="77777777" w:rsidTr="004C45EE">
        <w:trPr>
          <w:trHeight w:val="510"/>
        </w:trPr>
        <w:tc>
          <w:tcPr>
            <w:tcW w:w="10180" w:type="dxa"/>
            <w:tcBorders>
              <w:top w:val="nil"/>
              <w:left w:val="nil"/>
              <w:bottom w:val="nil"/>
              <w:right w:val="nil"/>
            </w:tcBorders>
            <w:shd w:val="clear" w:color="auto" w:fill="auto"/>
            <w:hideMark/>
          </w:tcPr>
          <w:p w14:paraId="12B3F2B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12. Prezzo pagato o prezzo dell'offerta più elevata e di quella più bassa di cui si è tenuto conto nell'aggiudicazione dell'appalto.</w:t>
            </w:r>
          </w:p>
        </w:tc>
      </w:tr>
      <w:tr w:rsidR="004C45EE" w:rsidRPr="004C45EE" w14:paraId="18E258AC" w14:textId="77777777" w:rsidTr="004C45EE">
        <w:trPr>
          <w:trHeight w:val="765"/>
        </w:trPr>
        <w:tc>
          <w:tcPr>
            <w:tcW w:w="10180" w:type="dxa"/>
            <w:tcBorders>
              <w:top w:val="nil"/>
              <w:left w:val="nil"/>
              <w:bottom w:val="nil"/>
              <w:right w:val="nil"/>
            </w:tcBorders>
            <w:shd w:val="clear" w:color="auto" w:fill="auto"/>
            <w:hideMark/>
          </w:tcPr>
          <w:p w14:paraId="0BFA357B"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13. Denominazione e indirizzo dell'organo competente per le procedure di ricorso e, se del caso, di mediazione. Precisazioni quanto al termine per l'introduzione di ricorsi o, se necessario, denominazione, indirizzo, numero di telefono, di fax e indirizzo elettronico del servizio presso il quale l'informazione in questione può essere richiesta.</w:t>
            </w:r>
          </w:p>
        </w:tc>
      </w:tr>
      <w:tr w:rsidR="004C45EE" w:rsidRPr="004C45EE" w14:paraId="7CDEC45E" w14:textId="77777777" w:rsidTr="004C45EE">
        <w:trPr>
          <w:trHeight w:val="255"/>
        </w:trPr>
        <w:tc>
          <w:tcPr>
            <w:tcW w:w="10180" w:type="dxa"/>
            <w:tcBorders>
              <w:top w:val="nil"/>
              <w:left w:val="nil"/>
              <w:bottom w:val="nil"/>
              <w:right w:val="nil"/>
            </w:tcBorders>
            <w:shd w:val="clear" w:color="auto" w:fill="auto"/>
            <w:hideMark/>
          </w:tcPr>
          <w:p w14:paraId="3E707FA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14. Informazioni facoltative:</w:t>
            </w:r>
          </w:p>
        </w:tc>
      </w:tr>
      <w:tr w:rsidR="004C45EE" w:rsidRPr="004C45EE" w14:paraId="38B6FA83" w14:textId="77777777" w:rsidTr="004C45EE">
        <w:trPr>
          <w:trHeight w:val="255"/>
        </w:trPr>
        <w:tc>
          <w:tcPr>
            <w:tcW w:w="10180" w:type="dxa"/>
            <w:tcBorders>
              <w:top w:val="nil"/>
              <w:left w:val="nil"/>
              <w:bottom w:val="nil"/>
              <w:right w:val="nil"/>
            </w:tcBorders>
            <w:shd w:val="clear" w:color="auto" w:fill="auto"/>
            <w:hideMark/>
          </w:tcPr>
          <w:p w14:paraId="0920570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valore e percentuale dell'appalto che è stata o può essere subappaltata a terzi;</w:t>
            </w:r>
          </w:p>
        </w:tc>
      </w:tr>
      <w:tr w:rsidR="004C45EE" w:rsidRPr="004C45EE" w14:paraId="6B73F1A0" w14:textId="77777777" w:rsidTr="004C45EE">
        <w:trPr>
          <w:trHeight w:val="255"/>
        </w:trPr>
        <w:tc>
          <w:tcPr>
            <w:tcW w:w="10180" w:type="dxa"/>
            <w:tcBorders>
              <w:top w:val="nil"/>
              <w:left w:val="nil"/>
              <w:bottom w:val="nil"/>
              <w:right w:val="nil"/>
            </w:tcBorders>
            <w:shd w:val="clear" w:color="auto" w:fill="auto"/>
            <w:hideMark/>
          </w:tcPr>
          <w:p w14:paraId="5EB5470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criteri di aggiudicazione dell'appalto.</w:t>
            </w:r>
          </w:p>
        </w:tc>
      </w:tr>
      <w:tr w:rsidR="004C45EE" w:rsidRPr="004C45EE" w14:paraId="35890D84" w14:textId="77777777" w:rsidTr="004C45EE">
        <w:trPr>
          <w:trHeight w:val="255"/>
        </w:trPr>
        <w:tc>
          <w:tcPr>
            <w:tcW w:w="10180" w:type="dxa"/>
            <w:tcBorders>
              <w:top w:val="nil"/>
              <w:left w:val="nil"/>
              <w:bottom w:val="nil"/>
              <w:right w:val="nil"/>
            </w:tcBorders>
            <w:shd w:val="clear" w:color="auto" w:fill="auto"/>
            <w:hideMark/>
          </w:tcPr>
          <w:p w14:paraId="5A096589"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II. Informazioni non destinate a essere pubblicate</w:t>
            </w:r>
          </w:p>
        </w:tc>
      </w:tr>
      <w:tr w:rsidR="004C45EE" w:rsidRPr="004C45EE" w14:paraId="34E134CB" w14:textId="77777777" w:rsidTr="004C45EE">
        <w:trPr>
          <w:trHeight w:val="255"/>
        </w:trPr>
        <w:tc>
          <w:tcPr>
            <w:tcW w:w="10180" w:type="dxa"/>
            <w:tcBorders>
              <w:top w:val="nil"/>
              <w:left w:val="nil"/>
              <w:bottom w:val="nil"/>
              <w:right w:val="nil"/>
            </w:tcBorders>
            <w:shd w:val="clear" w:color="auto" w:fill="auto"/>
            <w:hideMark/>
          </w:tcPr>
          <w:p w14:paraId="65D8452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15. Numero di appalti aggiudicati (quando un appalto è stato suddiviso tra più fornitori).</w:t>
            </w:r>
          </w:p>
        </w:tc>
      </w:tr>
      <w:tr w:rsidR="004C45EE" w:rsidRPr="004C45EE" w14:paraId="7A800EF6" w14:textId="77777777" w:rsidTr="004C45EE">
        <w:trPr>
          <w:trHeight w:val="255"/>
        </w:trPr>
        <w:tc>
          <w:tcPr>
            <w:tcW w:w="10180" w:type="dxa"/>
            <w:tcBorders>
              <w:top w:val="nil"/>
              <w:left w:val="nil"/>
              <w:bottom w:val="nil"/>
              <w:right w:val="nil"/>
            </w:tcBorders>
            <w:shd w:val="clear" w:color="auto" w:fill="auto"/>
            <w:hideMark/>
          </w:tcPr>
          <w:p w14:paraId="3EB32AD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16. Valore di ciascun appalto aggiudicato.</w:t>
            </w:r>
          </w:p>
        </w:tc>
      </w:tr>
      <w:tr w:rsidR="004C45EE" w:rsidRPr="004C45EE" w14:paraId="0EDD8F21" w14:textId="77777777" w:rsidTr="004C45EE">
        <w:trPr>
          <w:trHeight w:val="510"/>
        </w:trPr>
        <w:tc>
          <w:tcPr>
            <w:tcW w:w="10180" w:type="dxa"/>
            <w:tcBorders>
              <w:top w:val="nil"/>
              <w:left w:val="nil"/>
              <w:bottom w:val="nil"/>
              <w:right w:val="nil"/>
            </w:tcBorders>
            <w:shd w:val="clear" w:color="auto" w:fill="auto"/>
            <w:hideMark/>
          </w:tcPr>
          <w:p w14:paraId="1DCAF9C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17. Paese d'origine del prodotto o del servizio (origine unionale o non unionale e, in quest'ultimo caso, ripartizione per paese terzo).</w:t>
            </w:r>
          </w:p>
        </w:tc>
      </w:tr>
      <w:tr w:rsidR="004C45EE" w:rsidRPr="004C45EE" w14:paraId="010EE211" w14:textId="77777777" w:rsidTr="004C45EE">
        <w:trPr>
          <w:trHeight w:val="255"/>
        </w:trPr>
        <w:tc>
          <w:tcPr>
            <w:tcW w:w="10180" w:type="dxa"/>
            <w:tcBorders>
              <w:top w:val="nil"/>
              <w:left w:val="nil"/>
              <w:bottom w:val="nil"/>
              <w:right w:val="nil"/>
            </w:tcBorders>
            <w:shd w:val="clear" w:color="auto" w:fill="auto"/>
            <w:hideMark/>
          </w:tcPr>
          <w:p w14:paraId="64C8A92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18. Criteri di attribuzione utilizzati.</w:t>
            </w:r>
          </w:p>
        </w:tc>
      </w:tr>
      <w:tr w:rsidR="004C45EE" w:rsidRPr="004C45EE" w14:paraId="22C40B25" w14:textId="77777777" w:rsidTr="004C45EE">
        <w:trPr>
          <w:trHeight w:val="255"/>
        </w:trPr>
        <w:tc>
          <w:tcPr>
            <w:tcW w:w="10180" w:type="dxa"/>
            <w:tcBorders>
              <w:top w:val="nil"/>
              <w:left w:val="nil"/>
              <w:bottom w:val="nil"/>
              <w:right w:val="nil"/>
            </w:tcBorders>
            <w:shd w:val="clear" w:color="auto" w:fill="auto"/>
            <w:hideMark/>
          </w:tcPr>
          <w:p w14:paraId="33035AED"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19. Indicare se l'appalto è stato aggiudicato a un offerente che presentava una variante.</w:t>
            </w:r>
          </w:p>
        </w:tc>
      </w:tr>
      <w:tr w:rsidR="004C45EE" w:rsidRPr="004C45EE" w14:paraId="65B80375" w14:textId="77777777" w:rsidTr="004C45EE">
        <w:trPr>
          <w:trHeight w:val="255"/>
        </w:trPr>
        <w:tc>
          <w:tcPr>
            <w:tcW w:w="10180" w:type="dxa"/>
            <w:tcBorders>
              <w:top w:val="nil"/>
              <w:left w:val="nil"/>
              <w:bottom w:val="nil"/>
              <w:right w:val="nil"/>
            </w:tcBorders>
            <w:shd w:val="clear" w:color="auto" w:fill="auto"/>
            <w:hideMark/>
          </w:tcPr>
          <w:p w14:paraId="55EC4FA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20. Indicare se vi sono state offerte non accettate in quanto anormalmente basse.</w:t>
            </w:r>
          </w:p>
        </w:tc>
      </w:tr>
      <w:tr w:rsidR="004C45EE" w:rsidRPr="004C45EE" w14:paraId="6CDC9114" w14:textId="77777777" w:rsidTr="004C45EE">
        <w:trPr>
          <w:trHeight w:val="255"/>
        </w:trPr>
        <w:tc>
          <w:tcPr>
            <w:tcW w:w="10180" w:type="dxa"/>
            <w:tcBorders>
              <w:top w:val="nil"/>
              <w:left w:val="nil"/>
              <w:bottom w:val="nil"/>
              <w:right w:val="nil"/>
            </w:tcBorders>
            <w:shd w:val="clear" w:color="auto" w:fill="auto"/>
            <w:hideMark/>
          </w:tcPr>
          <w:p w14:paraId="5F697C9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21. Data di invio dell'avviso da parte della stazione appaltante o dell’ente concedente.</w:t>
            </w:r>
          </w:p>
        </w:tc>
      </w:tr>
      <w:tr w:rsidR="004C45EE" w:rsidRPr="004C45EE" w14:paraId="4B62D30A" w14:textId="77777777" w:rsidTr="004C45EE">
        <w:trPr>
          <w:trHeight w:val="510"/>
        </w:trPr>
        <w:tc>
          <w:tcPr>
            <w:tcW w:w="10180" w:type="dxa"/>
            <w:tcBorders>
              <w:top w:val="nil"/>
              <w:left w:val="nil"/>
              <w:bottom w:val="nil"/>
              <w:right w:val="nil"/>
            </w:tcBorders>
            <w:shd w:val="clear" w:color="auto" w:fill="auto"/>
            <w:hideMark/>
          </w:tcPr>
          <w:p w14:paraId="64B69444"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SEZIONE H – Informazioni che devono figurare negli avvisi sull'esistenza di un sistema di qualificazione (di cui all'articolo 162, comma 1)</w:t>
            </w:r>
          </w:p>
        </w:tc>
      </w:tr>
      <w:tr w:rsidR="004C45EE" w:rsidRPr="004C45EE" w14:paraId="221B2874" w14:textId="77777777" w:rsidTr="004C45EE">
        <w:trPr>
          <w:trHeight w:val="765"/>
        </w:trPr>
        <w:tc>
          <w:tcPr>
            <w:tcW w:w="10180" w:type="dxa"/>
            <w:tcBorders>
              <w:top w:val="nil"/>
              <w:left w:val="nil"/>
              <w:bottom w:val="nil"/>
              <w:right w:val="nil"/>
            </w:tcBorders>
            <w:shd w:val="clear" w:color="auto" w:fill="auto"/>
            <w:hideMark/>
          </w:tcPr>
          <w:p w14:paraId="2946F46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dalla legislazione nazionale), indirizzo comprensivo di codice NUTS, telefono, fax, posta elettronica e indirizzo Internet della stazione appaltante o dell’ente concedente e, se diverso, del servizio al quale rivolgersi per informazioni complementari.</w:t>
            </w:r>
          </w:p>
        </w:tc>
      </w:tr>
      <w:tr w:rsidR="004C45EE" w:rsidRPr="004C45EE" w14:paraId="19AB5552" w14:textId="77777777" w:rsidTr="004C45EE">
        <w:trPr>
          <w:trHeight w:val="255"/>
        </w:trPr>
        <w:tc>
          <w:tcPr>
            <w:tcW w:w="10180" w:type="dxa"/>
            <w:tcBorders>
              <w:top w:val="nil"/>
              <w:left w:val="nil"/>
              <w:bottom w:val="nil"/>
              <w:right w:val="nil"/>
            </w:tcBorders>
            <w:shd w:val="clear" w:color="auto" w:fill="auto"/>
            <w:hideMark/>
          </w:tcPr>
          <w:p w14:paraId="06EBA87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Principale attività esercitata.</w:t>
            </w:r>
          </w:p>
        </w:tc>
      </w:tr>
      <w:tr w:rsidR="004C45EE" w:rsidRPr="004C45EE" w14:paraId="3B5E2D16" w14:textId="77777777" w:rsidTr="004C45EE">
        <w:trPr>
          <w:trHeight w:val="510"/>
        </w:trPr>
        <w:tc>
          <w:tcPr>
            <w:tcW w:w="10180" w:type="dxa"/>
            <w:tcBorders>
              <w:top w:val="nil"/>
              <w:left w:val="nil"/>
              <w:bottom w:val="nil"/>
              <w:right w:val="nil"/>
            </w:tcBorders>
            <w:shd w:val="clear" w:color="auto" w:fill="auto"/>
            <w:hideMark/>
          </w:tcPr>
          <w:p w14:paraId="5CF4EE1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Indicare eventualmente se l'appalto è riservato a laboratori protetti o se l'esecuzione è riservata nel contesto di programmi di lavoro protetti.</w:t>
            </w:r>
          </w:p>
        </w:tc>
      </w:tr>
      <w:tr w:rsidR="004C45EE" w:rsidRPr="004C45EE" w14:paraId="0E8CCDB7" w14:textId="77777777" w:rsidTr="004C45EE">
        <w:trPr>
          <w:trHeight w:val="765"/>
        </w:trPr>
        <w:tc>
          <w:tcPr>
            <w:tcW w:w="10180" w:type="dxa"/>
            <w:tcBorders>
              <w:top w:val="nil"/>
              <w:left w:val="nil"/>
              <w:bottom w:val="nil"/>
              <w:right w:val="nil"/>
            </w:tcBorders>
            <w:shd w:val="clear" w:color="auto" w:fill="auto"/>
            <w:hideMark/>
          </w:tcPr>
          <w:p w14:paraId="26F48B3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Oggetto del sistema di qualificazione (descrizione dei prodotti, servizi o lavori, o loro categorie, che vanno acquistati con tale sistema - codici CPV). Il codice NUTS del luogo principale per l'esecuzione dei lavori nel caso di appalti di lavori o il codice NUTS del luogo principale di consegna o di prestazione per gli appalti di forniture e di servizi.</w:t>
            </w:r>
          </w:p>
        </w:tc>
      </w:tr>
      <w:tr w:rsidR="004C45EE" w:rsidRPr="004C45EE" w14:paraId="41C8CF38" w14:textId="77777777" w:rsidTr="004C45EE">
        <w:trPr>
          <w:trHeight w:val="1020"/>
        </w:trPr>
        <w:tc>
          <w:tcPr>
            <w:tcW w:w="10180" w:type="dxa"/>
            <w:tcBorders>
              <w:top w:val="nil"/>
              <w:left w:val="nil"/>
              <w:bottom w:val="nil"/>
              <w:right w:val="nil"/>
            </w:tcBorders>
            <w:shd w:val="clear" w:color="auto" w:fill="auto"/>
            <w:hideMark/>
          </w:tcPr>
          <w:p w14:paraId="4ABCA31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Requisiti che gli operatori economici devono soddisfare per la qualificazione in base al sistema e metodi di verifica di ciascuna di tali condizioni. Se la descrizione dei requisiti e dei metodi di verifica è voluminosa e si basa su documenti cui gli operatori economici interessati hanno accesso, una sintesi dei requisiti e dei metodi principali e un riferimento a tali documenti sarà sufficiente.</w:t>
            </w:r>
          </w:p>
        </w:tc>
      </w:tr>
      <w:tr w:rsidR="004C45EE" w:rsidRPr="004C45EE" w14:paraId="6E88EBC2" w14:textId="77777777" w:rsidTr="004C45EE">
        <w:trPr>
          <w:trHeight w:val="255"/>
        </w:trPr>
        <w:tc>
          <w:tcPr>
            <w:tcW w:w="10180" w:type="dxa"/>
            <w:tcBorders>
              <w:top w:val="nil"/>
              <w:left w:val="nil"/>
              <w:bottom w:val="nil"/>
              <w:right w:val="nil"/>
            </w:tcBorders>
            <w:shd w:val="clear" w:color="auto" w:fill="auto"/>
            <w:hideMark/>
          </w:tcPr>
          <w:p w14:paraId="4FC25D7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Periodo di validità del sistema di qualificazione e formalità da espletare per il suo rinnovo.</w:t>
            </w:r>
          </w:p>
        </w:tc>
      </w:tr>
      <w:tr w:rsidR="004C45EE" w:rsidRPr="004C45EE" w14:paraId="67BCC457" w14:textId="77777777" w:rsidTr="004C45EE">
        <w:trPr>
          <w:trHeight w:val="255"/>
        </w:trPr>
        <w:tc>
          <w:tcPr>
            <w:tcW w:w="10180" w:type="dxa"/>
            <w:tcBorders>
              <w:top w:val="nil"/>
              <w:left w:val="nil"/>
              <w:bottom w:val="nil"/>
              <w:right w:val="nil"/>
            </w:tcBorders>
            <w:shd w:val="clear" w:color="auto" w:fill="auto"/>
            <w:hideMark/>
          </w:tcPr>
          <w:p w14:paraId="15C9548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Menzione del fatto che l'avviso è utilizzato come mezzo di indizione di gara.</w:t>
            </w:r>
          </w:p>
        </w:tc>
      </w:tr>
      <w:tr w:rsidR="004C45EE" w:rsidRPr="004C45EE" w14:paraId="57ED58E7" w14:textId="77777777" w:rsidTr="004C45EE">
        <w:trPr>
          <w:trHeight w:val="510"/>
        </w:trPr>
        <w:tc>
          <w:tcPr>
            <w:tcW w:w="10180" w:type="dxa"/>
            <w:tcBorders>
              <w:top w:val="nil"/>
              <w:left w:val="nil"/>
              <w:bottom w:val="nil"/>
              <w:right w:val="nil"/>
            </w:tcBorders>
            <w:shd w:val="clear" w:color="auto" w:fill="auto"/>
            <w:hideMark/>
          </w:tcPr>
          <w:p w14:paraId="4FC51CC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Indirizzo presso il quale è possibile ottenere ulteriori informazioni e la documentazione relativa al sistema di qualificazione (se l'indirizzo è diverso da quello di</w:t>
            </w:r>
          </w:p>
        </w:tc>
      </w:tr>
      <w:tr w:rsidR="004C45EE" w:rsidRPr="004C45EE" w14:paraId="7477FF38" w14:textId="77777777" w:rsidTr="004C45EE">
        <w:trPr>
          <w:trHeight w:val="255"/>
        </w:trPr>
        <w:tc>
          <w:tcPr>
            <w:tcW w:w="10180" w:type="dxa"/>
            <w:tcBorders>
              <w:top w:val="nil"/>
              <w:left w:val="nil"/>
              <w:bottom w:val="nil"/>
              <w:right w:val="nil"/>
            </w:tcBorders>
            <w:shd w:val="clear" w:color="auto" w:fill="auto"/>
            <w:hideMark/>
          </w:tcPr>
          <w:p w14:paraId="47787D9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cui al punto 1).</w:t>
            </w:r>
          </w:p>
        </w:tc>
      </w:tr>
      <w:tr w:rsidR="004C45EE" w:rsidRPr="004C45EE" w14:paraId="69E2F00C" w14:textId="77777777" w:rsidTr="004C45EE">
        <w:trPr>
          <w:trHeight w:val="765"/>
        </w:trPr>
        <w:tc>
          <w:tcPr>
            <w:tcW w:w="10180" w:type="dxa"/>
            <w:tcBorders>
              <w:top w:val="nil"/>
              <w:left w:val="nil"/>
              <w:bottom w:val="nil"/>
              <w:right w:val="nil"/>
            </w:tcBorders>
            <w:shd w:val="clear" w:color="auto" w:fill="auto"/>
            <w:hideMark/>
          </w:tcPr>
          <w:p w14:paraId="3A870BF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9. Denominazione e indirizzo dell'organo competente per le procedure di ricorso e, se del caso, di mediazione. Precisazioni quanto al termine per l'introduzione di ricorsi o, se necessario, denominazione, indirizzo, numero di telefono, di fax e indirizzo elettronico del servizio presso il quale l'informazione in questione può essere richiesta.</w:t>
            </w:r>
          </w:p>
        </w:tc>
      </w:tr>
      <w:tr w:rsidR="004C45EE" w:rsidRPr="004C45EE" w14:paraId="603D1114" w14:textId="77777777" w:rsidTr="004C45EE">
        <w:trPr>
          <w:trHeight w:val="1020"/>
        </w:trPr>
        <w:tc>
          <w:tcPr>
            <w:tcW w:w="10180" w:type="dxa"/>
            <w:tcBorders>
              <w:top w:val="nil"/>
              <w:left w:val="nil"/>
              <w:bottom w:val="nil"/>
              <w:right w:val="nil"/>
            </w:tcBorders>
            <w:shd w:val="clear" w:color="auto" w:fill="auto"/>
            <w:hideMark/>
          </w:tcPr>
          <w:p w14:paraId="421FFD1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10. Criteri, se noti, che saranno utilizzati per l'aggiudicazione dell'appalto. Salvo nel caso in cui l'offerta economicamente più vantaggiosa è individuata sulla base del solo prezzo, i criteri per determinare l'offerta economicamente più vantaggiosa nonché la ponderazione a essi attribuita o, se del caso, la gerarchia di applicazione degli stessi sono indicati qualora non figurino nel capitolato d'oneri o non ne sia previsto l'inserimento nell'invito a presentare un'offerta o a negoziare.</w:t>
            </w:r>
          </w:p>
        </w:tc>
      </w:tr>
      <w:tr w:rsidR="004C45EE" w:rsidRPr="004C45EE" w14:paraId="1FE3DBD6" w14:textId="77777777" w:rsidTr="004C45EE">
        <w:trPr>
          <w:trHeight w:val="255"/>
        </w:trPr>
        <w:tc>
          <w:tcPr>
            <w:tcW w:w="10180" w:type="dxa"/>
            <w:tcBorders>
              <w:top w:val="nil"/>
              <w:left w:val="nil"/>
              <w:bottom w:val="nil"/>
              <w:right w:val="nil"/>
            </w:tcBorders>
            <w:shd w:val="clear" w:color="auto" w:fill="auto"/>
            <w:hideMark/>
          </w:tcPr>
          <w:p w14:paraId="21C50F2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11. Eventualmente, indicare se:</w:t>
            </w:r>
          </w:p>
        </w:tc>
      </w:tr>
      <w:tr w:rsidR="004C45EE" w:rsidRPr="004C45EE" w14:paraId="471E5AAA" w14:textId="77777777" w:rsidTr="004C45EE">
        <w:trPr>
          <w:trHeight w:val="255"/>
        </w:trPr>
        <w:tc>
          <w:tcPr>
            <w:tcW w:w="10180" w:type="dxa"/>
            <w:tcBorders>
              <w:top w:val="nil"/>
              <w:left w:val="nil"/>
              <w:bottom w:val="nil"/>
              <w:right w:val="nil"/>
            </w:tcBorders>
            <w:shd w:val="clear" w:color="auto" w:fill="auto"/>
            <w:hideMark/>
          </w:tcPr>
          <w:p w14:paraId="037553D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la trasmissione in via elettronica delle offerte o delle domande di partecipazione è richiesta/accettata;</w:t>
            </w:r>
          </w:p>
        </w:tc>
      </w:tr>
      <w:tr w:rsidR="004C45EE" w:rsidRPr="004C45EE" w14:paraId="0AEE0FAF" w14:textId="77777777" w:rsidTr="004C45EE">
        <w:trPr>
          <w:trHeight w:val="255"/>
        </w:trPr>
        <w:tc>
          <w:tcPr>
            <w:tcW w:w="10180" w:type="dxa"/>
            <w:tcBorders>
              <w:top w:val="nil"/>
              <w:left w:val="nil"/>
              <w:bottom w:val="nil"/>
              <w:right w:val="nil"/>
            </w:tcBorders>
            <w:shd w:val="clear" w:color="auto" w:fill="auto"/>
            <w:hideMark/>
          </w:tcPr>
          <w:p w14:paraId="7288F363"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si farà ricorso all'ordinazione elettronica;</w:t>
            </w:r>
          </w:p>
        </w:tc>
      </w:tr>
      <w:tr w:rsidR="004C45EE" w:rsidRPr="004C45EE" w14:paraId="46E79E30" w14:textId="77777777" w:rsidTr="004C45EE">
        <w:trPr>
          <w:trHeight w:val="255"/>
        </w:trPr>
        <w:tc>
          <w:tcPr>
            <w:tcW w:w="10180" w:type="dxa"/>
            <w:tcBorders>
              <w:top w:val="nil"/>
              <w:left w:val="nil"/>
              <w:bottom w:val="nil"/>
              <w:right w:val="nil"/>
            </w:tcBorders>
            <w:shd w:val="clear" w:color="auto" w:fill="auto"/>
            <w:hideMark/>
          </w:tcPr>
          <w:p w14:paraId="69DC63A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si farà ricorso alla fatturazione elettronica;</w:t>
            </w:r>
          </w:p>
        </w:tc>
      </w:tr>
      <w:tr w:rsidR="004C45EE" w:rsidRPr="004C45EE" w14:paraId="778B4D95" w14:textId="77777777" w:rsidTr="004C45EE">
        <w:trPr>
          <w:trHeight w:val="255"/>
        </w:trPr>
        <w:tc>
          <w:tcPr>
            <w:tcW w:w="10180" w:type="dxa"/>
            <w:tcBorders>
              <w:top w:val="nil"/>
              <w:left w:val="nil"/>
              <w:bottom w:val="nil"/>
              <w:right w:val="nil"/>
            </w:tcBorders>
            <w:shd w:val="clear" w:color="auto" w:fill="auto"/>
            <w:hideMark/>
          </w:tcPr>
          <w:p w14:paraId="3EAC6AD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 sarà accettato il pagamento elettronico.</w:t>
            </w:r>
          </w:p>
        </w:tc>
      </w:tr>
      <w:tr w:rsidR="004C45EE" w:rsidRPr="004C45EE" w14:paraId="5DECF89F" w14:textId="77777777" w:rsidTr="004C45EE">
        <w:trPr>
          <w:trHeight w:val="255"/>
        </w:trPr>
        <w:tc>
          <w:tcPr>
            <w:tcW w:w="10180" w:type="dxa"/>
            <w:tcBorders>
              <w:top w:val="nil"/>
              <w:left w:val="nil"/>
              <w:bottom w:val="nil"/>
              <w:right w:val="nil"/>
            </w:tcBorders>
            <w:shd w:val="clear" w:color="auto" w:fill="auto"/>
            <w:hideMark/>
          </w:tcPr>
          <w:p w14:paraId="362C560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12. Altre eventuali informazioni.</w:t>
            </w:r>
          </w:p>
        </w:tc>
      </w:tr>
      <w:tr w:rsidR="004C45EE" w:rsidRPr="004C45EE" w14:paraId="275EE7AC" w14:textId="77777777" w:rsidTr="004C45EE">
        <w:trPr>
          <w:trHeight w:val="255"/>
        </w:trPr>
        <w:tc>
          <w:tcPr>
            <w:tcW w:w="10180" w:type="dxa"/>
            <w:tcBorders>
              <w:top w:val="nil"/>
              <w:left w:val="nil"/>
              <w:bottom w:val="nil"/>
              <w:right w:val="nil"/>
            </w:tcBorders>
            <w:shd w:val="clear" w:color="auto" w:fill="auto"/>
            <w:hideMark/>
          </w:tcPr>
          <w:p w14:paraId="670AE0CC" w14:textId="77777777" w:rsidR="004C45EE" w:rsidRPr="004C45EE" w:rsidRDefault="004C45EE" w:rsidP="004C45EE">
            <w:pPr>
              <w:shd w:val="clear" w:color="auto" w:fill="F2F2F2" w:themeFill="background1" w:themeFillShade="F2"/>
              <w:jc w:val="center"/>
              <w:rPr>
                <w:rFonts w:eastAsia="Times New Roman"/>
                <w:b/>
                <w:bCs/>
                <w:kern w:val="0"/>
                <w:sz w:val="20"/>
                <w:szCs w:val="20"/>
                <w:lang w:eastAsia="it-IT"/>
              </w:rPr>
            </w:pPr>
            <w:r w:rsidRPr="004C45EE">
              <w:rPr>
                <w:rFonts w:eastAsia="Times New Roman"/>
                <w:b/>
                <w:bCs/>
                <w:kern w:val="0"/>
                <w:sz w:val="20"/>
                <w:szCs w:val="20"/>
                <w:lang w:eastAsia="it-IT"/>
              </w:rPr>
              <w:lastRenderedPageBreak/>
              <w:t>PARTE III</w:t>
            </w:r>
          </w:p>
        </w:tc>
      </w:tr>
      <w:tr w:rsidR="004C45EE" w:rsidRPr="004C45EE" w14:paraId="06E72137" w14:textId="77777777" w:rsidTr="004C45EE">
        <w:trPr>
          <w:trHeight w:val="510"/>
        </w:trPr>
        <w:tc>
          <w:tcPr>
            <w:tcW w:w="10180" w:type="dxa"/>
            <w:tcBorders>
              <w:top w:val="nil"/>
              <w:left w:val="nil"/>
              <w:bottom w:val="nil"/>
              <w:right w:val="nil"/>
            </w:tcBorders>
            <w:shd w:val="clear" w:color="auto" w:fill="auto"/>
            <w:hideMark/>
          </w:tcPr>
          <w:p w14:paraId="7EEA8B18" w14:textId="77777777" w:rsidR="004C45EE" w:rsidRPr="004C45EE" w:rsidRDefault="004C45EE" w:rsidP="004C45EE">
            <w:pPr>
              <w:shd w:val="clear" w:color="auto" w:fill="F2F2F2" w:themeFill="background1" w:themeFillShade="F2"/>
              <w:jc w:val="center"/>
              <w:rPr>
                <w:rFonts w:eastAsia="Times New Roman"/>
                <w:b/>
                <w:bCs/>
                <w:kern w:val="0"/>
                <w:sz w:val="20"/>
                <w:szCs w:val="20"/>
                <w:lang w:eastAsia="it-IT"/>
              </w:rPr>
            </w:pPr>
            <w:r w:rsidRPr="004C45EE">
              <w:rPr>
                <w:rFonts w:eastAsia="Times New Roman"/>
                <w:b/>
                <w:bCs/>
                <w:kern w:val="0"/>
                <w:sz w:val="20"/>
                <w:szCs w:val="20"/>
                <w:lang w:eastAsia="it-IT"/>
              </w:rPr>
              <w:t>INFORMAZIONI CHE DEVONO FIGURARE NEI BANDI E NEGLI AVVISI DI GARA RELATIVI AGLI APPALTI DI SERVIZI SOCIALI E DI</w:t>
            </w:r>
          </w:p>
        </w:tc>
      </w:tr>
      <w:tr w:rsidR="004C45EE" w:rsidRPr="004C45EE" w14:paraId="3D21BB7C" w14:textId="77777777" w:rsidTr="004C45EE">
        <w:trPr>
          <w:trHeight w:val="255"/>
        </w:trPr>
        <w:tc>
          <w:tcPr>
            <w:tcW w:w="10180" w:type="dxa"/>
            <w:tcBorders>
              <w:top w:val="nil"/>
              <w:left w:val="nil"/>
              <w:bottom w:val="nil"/>
              <w:right w:val="nil"/>
            </w:tcBorders>
            <w:shd w:val="clear" w:color="auto" w:fill="auto"/>
            <w:hideMark/>
          </w:tcPr>
          <w:p w14:paraId="6BF1FA71" w14:textId="77777777" w:rsidR="004C45EE" w:rsidRPr="004C45EE" w:rsidRDefault="004C45EE" w:rsidP="004C45EE">
            <w:pPr>
              <w:shd w:val="clear" w:color="auto" w:fill="F2F2F2" w:themeFill="background1" w:themeFillShade="F2"/>
              <w:jc w:val="center"/>
              <w:rPr>
                <w:rFonts w:eastAsia="Times New Roman"/>
                <w:color w:val="000000"/>
                <w:kern w:val="0"/>
                <w:sz w:val="20"/>
                <w:szCs w:val="20"/>
                <w:lang w:eastAsia="it-IT"/>
              </w:rPr>
            </w:pPr>
            <w:r w:rsidRPr="004C45EE">
              <w:rPr>
                <w:rFonts w:eastAsia="Times New Roman"/>
                <w:b/>
                <w:bCs/>
                <w:kern w:val="0"/>
                <w:sz w:val="20"/>
                <w:szCs w:val="20"/>
                <w:lang w:eastAsia="it-IT"/>
              </w:rPr>
              <w:t xml:space="preserve">ALTRI SERVIZI SPECIFICI NEI SETTORI SPECIALI </w:t>
            </w:r>
            <w:r w:rsidRPr="004C45EE">
              <w:rPr>
                <w:rFonts w:eastAsia="Times New Roman"/>
                <w:kern w:val="0"/>
                <w:sz w:val="20"/>
                <w:szCs w:val="20"/>
                <w:lang w:eastAsia="it-IT"/>
              </w:rPr>
              <w:t>(</w:t>
            </w:r>
            <w:r w:rsidRPr="004C45EE">
              <w:rPr>
                <w:rFonts w:eastAsia="Times New Roman"/>
                <w:b/>
                <w:bCs/>
                <w:kern w:val="0"/>
                <w:sz w:val="20"/>
                <w:szCs w:val="20"/>
                <w:lang w:eastAsia="it-IT"/>
              </w:rPr>
              <w:t>di cui all'articolo 127, comma 4)</w:t>
            </w:r>
          </w:p>
        </w:tc>
      </w:tr>
      <w:tr w:rsidR="004C45EE" w:rsidRPr="004C45EE" w14:paraId="0A592C13" w14:textId="77777777" w:rsidTr="004C45EE">
        <w:trPr>
          <w:trHeight w:val="255"/>
        </w:trPr>
        <w:tc>
          <w:tcPr>
            <w:tcW w:w="10180" w:type="dxa"/>
            <w:tcBorders>
              <w:top w:val="nil"/>
              <w:left w:val="nil"/>
              <w:bottom w:val="nil"/>
              <w:right w:val="nil"/>
            </w:tcBorders>
            <w:shd w:val="clear" w:color="auto" w:fill="auto"/>
            <w:hideMark/>
          </w:tcPr>
          <w:p w14:paraId="52225664"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I. Bando o avviso di gara</w:t>
            </w:r>
          </w:p>
        </w:tc>
      </w:tr>
      <w:tr w:rsidR="004C45EE" w:rsidRPr="004C45EE" w14:paraId="067C14C3" w14:textId="77777777" w:rsidTr="004C45EE">
        <w:trPr>
          <w:trHeight w:val="765"/>
        </w:trPr>
        <w:tc>
          <w:tcPr>
            <w:tcW w:w="10180" w:type="dxa"/>
            <w:tcBorders>
              <w:top w:val="nil"/>
              <w:left w:val="nil"/>
              <w:bottom w:val="nil"/>
              <w:right w:val="nil"/>
            </w:tcBorders>
            <w:shd w:val="clear" w:color="auto" w:fill="auto"/>
            <w:hideMark/>
          </w:tcPr>
          <w:p w14:paraId="19FC7E0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dalla legislazione nazionale), indirizzo comprensivo di codice NUTS, telefono, fax, posta elettronica e indirizzo Internet della stazione appaltante e, se diverso, del servizio al quale rivolgersi per informazioni complementari.</w:t>
            </w:r>
          </w:p>
        </w:tc>
      </w:tr>
      <w:tr w:rsidR="004C45EE" w:rsidRPr="004C45EE" w14:paraId="4F777183" w14:textId="77777777" w:rsidTr="004C45EE">
        <w:trPr>
          <w:trHeight w:val="255"/>
        </w:trPr>
        <w:tc>
          <w:tcPr>
            <w:tcW w:w="10180" w:type="dxa"/>
            <w:tcBorders>
              <w:top w:val="nil"/>
              <w:left w:val="nil"/>
              <w:bottom w:val="nil"/>
              <w:right w:val="nil"/>
            </w:tcBorders>
            <w:shd w:val="clear" w:color="auto" w:fill="auto"/>
            <w:hideMark/>
          </w:tcPr>
          <w:p w14:paraId="6135291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Principale attività esercitata.</w:t>
            </w:r>
          </w:p>
        </w:tc>
      </w:tr>
      <w:tr w:rsidR="004C45EE" w:rsidRPr="004C45EE" w14:paraId="2C1B61B8" w14:textId="77777777" w:rsidTr="004C45EE">
        <w:trPr>
          <w:trHeight w:val="510"/>
        </w:trPr>
        <w:tc>
          <w:tcPr>
            <w:tcW w:w="10180" w:type="dxa"/>
            <w:tcBorders>
              <w:top w:val="nil"/>
              <w:left w:val="nil"/>
              <w:bottom w:val="nil"/>
              <w:right w:val="nil"/>
            </w:tcBorders>
            <w:shd w:val="clear" w:color="auto" w:fill="auto"/>
            <w:hideMark/>
          </w:tcPr>
          <w:p w14:paraId="344A93F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Descrizione dei servizi o loro categorie e, se del caso, forniture e lavori accessori oggetto dell'appalto, indicando quantità o valori coinvolti e codici CPV.</w:t>
            </w:r>
          </w:p>
        </w:tc>
      </w:tr>
      <w:tr w:rsidR="004C45EE" w:rsidRPr="004C45EE" w14:paraId="2CCA14FA" w14:textId="77777777" w:rsidTr="004C45EE">
        <w:trPr>
          <w:trHeight w:val="255"/>
        </w:trPr>
        <w:tc>
          <w:tcPr>
            <w:tcW w:w="10180" w:type="dxa"/>
            <w:tcBorders>
              <w:top w:val="nil"/>
              <w:left w:val="nil"/>
              <w:bottom w:val="nil"/>
              <w:right w:val="nil"/>
            </w:tcBorders>
            <w:shd w:val="clear" w:color="auto" w:fill="auto"/>
            <w:hideMark/>
          </w:tcPr>
          <w:p w14:paraId="3180946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Codice NUTS del luogo principale di esecuzione dei servizi.</w:t>
            </w:r>
          </w:p>
        </w:tc>
      </w:tr>
      <w:tr w:rsidR="004C45EE" w:rsidRPr="004C45EE" w14:paraId="38D54A6F" w14:textId="77777777" w:rsidTr="004C45EE">
        <w:trPr>
          <w:trHeight w:val="510"/>
        </w:trPr>
        <w:tc>
          <w:tcPr>
            <w:tcW w:w="10180" w:type="dxa"/>
            <w:tcBorders>
              <w:top w:val="nil"/>
              <w:left w:val="nil"/>
              <w:bottom w:val="nil"/>
              <w:right w:val="nil"/>
            </w:tcBorders>
            <w:shd w:val="clear" w:color="auto" w:fill="auto"/>
            <w:hideMark/>
          </w:tcPr>
          <w:p w14:paraId="5F93815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Indicare eventualmente se l'appalto è riservato a laboratori protetti o se l'esecuzione è riservata nel contesto di programmi di lavoro protetti.</w:t>
            </w:r>
          </w:p>
        </w:tc>
      </w:tr>
      <w:tr w:rsidR="004C45EE" w:rsidRPr="004C45EE" w14:paraId="20955697" w14:textId="77777777" w:rsidTr="004C45EE">
        <w:trPr>
          <w:trHeight w:val="510"/>
        </w:trPr>
        <w:tc>
          <w:tcPr>
            <w:tcW w:w="10180" w:type="dxa"/>
            <w:tcBorders>
              <w:top w:val="nil"/>
              <w:left w:val="nil"/>
              <w:bottom w:val="nil"/>
              <w:right w:val="nil"/>
            </w:tcBorders>
            <w:shd w:val="clear" w:color="auto" w:fill="auto"/>
            <w:hideMark/>
          </w:tcPr>
          <w:p w14:paraId="699552C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Principali condizioni da soddisfare da parte degli operatori economici in vista della loro partecipazione, o, se del caso, l'indirizzo elettronico a cui si possono</w:t>
            </w:r>
          </w:p>
        </w:tc>
      </w:tr>
      <w:tr w:rsidR="004C45EE" w:rsidRPr="004C45EE" w14:paraId="36F7439A" w14:textId="77777777" w:rsidTr="004C45EE">
        <w:trPr>
          <w:trHeight w:val="255"/>
        </w:trPr>
        <w:tc>
          <w:tcPr>
            <w:tcW w:w="10180" w:type="dxa"/>
            <w:tcBorders>
              <w:top w:val="nil"/>
              <w:left w:val="nil"/>
              <w:bottom w:val="nil"/>
              <w:right w:val="nil"/>
            </w:tcBorders>
            <w:shd w:val="clear" w:color="auto" w:fill="auto"/>
            <w:hideMark/>
          </w:tcPr>
          <w:p w14:paraId="1C279E79"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ottenere informazioni dettagliate.</w:t>
            </w:r>
          </w:p>
        </w:tc>
      </w:tr>
      <w:tr w:rsidR="004C45EE" w:rsidRPr="004C45EE" w14:paraId="7B9F401B" w14:textId="77777777" w:rsidTr="004C45EE">
        <w:trPr>
          <w:trHeight w:val="255"/>
        </w:trPr>
        <w:tc>
          <w:tcPr>
            <w:tcW w:w="10180" w:type="dxa"/>
            <w:tcBorders>
              <w:top w:val="nil"/>
              <w:left w:val="nil"/>
              <w:bottom w:val="nil"/>
              <w:right w:val="nil"/>
            </w:tcBorders>
            <w:shd w:val="clear" w:color="auto" w:fill="auto"/>
            <w:hideMark/>
          </w:tcPr>
          <w:p w14:paraId="46E934E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Scadenze per contattare l’ente aggiudicatore, in vista della partecipazione.</w:t>
            </w:r>
          </w:p>
        </w:tc>
      </w:tr>
      <w:tr w:rsidR="004C45EE" w:rsidRPr="004C45EE" w14:paraId="58F1309D" w14:textId="77777777" w:rsidTr="004C45EE">
        <w:trPr>
          <w:trHeight w:val="255"/>
        </w:trPr>
        <w:tc>
          <w:tcPr>
            <w:tcW w:w="10180" w:type="dxa"/>
            <w:tcBorders>
              <w:top w:val="nil"/>
              <w:left w:val="nil"/>
              <w:bottom w:val="nil"/>
              <w:right w:val="nil"/>
            </w:tcBorders>
            <w:shd w:val="clear" w:color="auto" w:fill="auto"/>
            <w:hideMark/>
          </w:tcPr>
          <w:p w14:paraId="276B42D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8. Altre eventuali informazioni.</w:t>
            </w:r>
          </w:p>
        </w:tc>
      </w:tr>
      <w:tr w:rsidR="004C45EE" w:rsidRPr="004C45EE" w14:paraId="150940D1" w14:textId="77777777" w:rsidTr="004C45EE">
        <w:trPr>
          <w:trHeight w:val="255"/>
        </w:trPr>
        <w:tc>
          <w:tcPr>
            <w:tcW w:w="10180" w:type="dxa"/>
            <w:tcBorders>
              <w:top w:val="nil"/>
              <w:left w:val="nil"/>
              <w:bottom w:val="nil"/>
              <w:right w:val="nil"/>
            </w:tcBorders>
            <w:shd w:val="clear" w:color="auto" w:fill="auto"/>
            <w:hideMark/>
          </w:tcPr>
          <w:p w14:paraId="37E2DB71"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II. Avviso periodico indicativo</w:t>
            </w:r>
          </w:p>
        </w:tc>
      </w:tr>
      <w:tr w:rsidR="004C45EE" w:rsidRPr="004C45EE" w14:paraId="1A727C91" w14:textId="77777777" w:rsidTr="004C45EE">
        <w:trPr>
          <w:trHeight w:val="510"/>
        </w:trPr>
        <w:tc>
          <w:tcPr>
            <w:tcW w:w="10180" w:type="dxa"/>
            <w:tcBorders>
              <w:top w:val="nil"/>
              <w:left w:val="nil"/>
              <w:bottom w:val="nil"/>
              <w:right w:val="nil"/>
            </w:tcBorders>
            <w:shd w:val="clear" w:color="auto" w:fill="auto"/>
            <w:hideMark/>
          </w:tcPr>
          <w:p w14:paraId="1F083F5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dalla legislazione nazionale), indirizzo comprensivo di codice NUTS, posta elettronica e indirizzo Internet della stazione appaltante.</w:t>
            </w:r>
          </w:p>
        </w:tc>
      </w:tr>
      <w:tr w:rsidR="004C45EE" w:rsidRPr="004C45EE" w14:paraId="644EAE30" w14:textId="77777777" w:rsidTr="004C45EE">
        <w:trPr>
          <w:trHeight w:val="255"/>
        </w:trPr>
        <w:tc>
          <w:tcPr>
            <w:tcW w:w="10180" w:type="dxa"/>
            <w:tcBorders>
              <w:top w:val="nil"/>
              <w:left w:val="nil"/>
              <w:bottom w:val="nil"/>
              <w:right w:val="nil"/>
            </w:tcBorders>
            <w:shd w:val="clear" w:color="auto" w:fill="auto"/>
            <w:hideMark/>
          </w:tcPr>
          <w:p w14:paraId="3521949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Una breve descrizione del contratto in questione, compresi i codici CPV.</w:t>
            </w:r>
          </w:p>
        </w:tc>
      </w:tr>
      <w:tr w:rsidR="004C45EE" w:rsidRPr="004C45EE" w14:paraId="15A2ADF1" w14:textId="77777777" w:rsidTr="004C45EE">
        <w:trPr>
          <w:trHeight w:val="255"/>
        </w:trPr>
        <w:tc>
          <w:tcPr>
            <w:tcW w:w="10180" w:type="dxa"/>
            <w:tcBorders>
              <w:top w:val="nil"/>
              <w:left w:val="nil"/>
              <w:bottom w:val="nil"/>
              <w:right w:val="nil"/>
            </w:tcBorders>
            <w:shd w:val="clear" w:color="auto" w:fill="auto"/>
            <w:hideMark/>
          </w:tcPr>
          <w:p w14:paraId="397D43E6"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Se noti:</w:t>
            </w:r>
          </w:p>
        </w:tc>
      </w:tr>
      <w:tr w:rsidR="004C45EE" w:rsidRPr="004C45EE" w14:paraId="6592F115" w14:textId="77777777" w:rsidTr="004C45EE">
        <w:trPr>
          <w:trHeight w:val="510"/>
        </w:trPr>
        <w:tc>
          <w:tcPr>
            <w:tcW w:w="10180" w:type="dxa"/>
            <w:tcBorders>
              <w:top w:val="nil"/>
              <w:left w:val="nil"/>
              <w:bottom w:val="nil"/>
              <w:right w:val="nil"/>
            </w:tcBorders>
            <w:shd w:val="clear" w:color="auto" w:fill="auto"/>
            <w:hideMark/>
          </w:tcPr>
          <w:p w14:paraId="1CF7B2C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il codice NUTS del luogo principale per l'esecuzione dei lavori nel caso di appalti di lavori o il codice NUTS del luogo principale di consegna o di prestazione per le forniture e i servizi;</w:t>
            </w:r>
          </w:p>
        </w:tc>
      </w:tr>
      <w:tr w:rsidR="004C45EE" w:rsidRPr="004C45EE" w14:paraId="5D7EAD76" w14:textId="77777777" w:rsidTr="004C45EE">
        <w:trPr>
          <w:trHeight w:val="255"/>
        </w:trPr>
        <w:tc>
          <w:tcPr>
            <w:tcW w:w="10180" w:type="dxa"/>
            <w:tcBorders>
              <w:top w:val="nil"/>
              <w:left w:val="nil"/>
              <w:bottom w:val="nil"/>
              <w:right w:val="nil"/>
            </w:tcBorders>
            <w:shd w:val="clear" w:color="auto" w:fill="auto"/>
            <w:hideMark/>
          </w:tcPr>
          <w:p w14:paraId="51379C9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tempi di consegna o di fornitura di prodotti, lavori o servizi e durata del contratto;</w:t>
            </w:r>
          </w:p>
        </w:tc>
      </w:tr>
      <w:tr w:rsidR="004C45EE" w:rsidRPr="004C45EE" w14:paraId="7E001589" w14:textId="77777777" w:rsidTr="004C45EE">
        <w:trPr>
          <w:trHeight w:val="255"/>
        </w:trPr>
        <w:tc>
          <w:tcPr>
            <w:tcW w:w="10180" w:type="dxa"/>
            <w:tcBorders>
              <w:top w:val="nil"/>
              <w:left w:val="nil"/>
              <w:bottom w:val="nil"/>
              <w:right w:val="nil"/>
            </w:tcBorders>
            <w:shd w:val="clear" w:color="auto" w:fill="auto"/>
            <w:hideMark/>
          </w:tcPr>
          <w:p w14:paraId="5FD15D9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condizioni di partecipazione, compreso quanto segue:</w:t>
            </w:r>
          </w:p>
        </w:tc>
      </w:tr>
      <w:tr w:rsidR="004C45EE" w:rsidRPr="004C45EE" w14:paraId="18635123" w14:textId="77777777" w:rsidTr="004C45EE">
        <w:trPr>
          <w:trHeight w:val="510"/>
        </w:trPr>
        <w:tc>
          <w:tcPr>
            <w:tcW w:w="10180" w:type="dxa"/>
            <w:tcBorders>
              <w:top w:val="nil"/>
              <w:left w:val="nil"/>
              <w:bottom w:val="nil"/>
              <w:right w:val="nil"/>
            </w:tcBorders>
            <w:shd w:val="clear" w:color="auto" w:fill="auto"/>
            <w:hideMark/>
          </w:tcPr>
          <w:p w14:paraId="6447250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l'indicazione, eventuale, se si tratta di un appalto riservato a laboratori protetti o la cui esecuzione è riservata nell'ambito di programmi di lavoro protetti;</w:t>
            </w:r>
          </w:p>
        </w:tc>
      </w:tr>
      <w:tr w:rsidR="004C45EE" w:rsidRPr="004C45EE" w14:paraId="028EC981" w14:textId="77777777" w:rsidTr="004C45EE">
        <w:trPr>
          <w:trHeight w:val="510"/>
        </w:trPr>
        <w:tc>
          <w:tcPr>
            <w:tcW w:w="10180" w:type="dxa"/>
            <w:tcBorders>
              <w:top w:val="nil"/>
              <w:left w:val="nil"/>
              <w:bottom w:val="nil"/>
              <w:right w:val="nil"/>
            </w:tcBorders>
            <w:shd w:val="clear" w:color="auto" w:fill="auto"/>
            <w:hideMark/>
          </w:tcPr>
          <w:p w14:paraId="352C60E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l'indicazione eventuale  se, in  forza di disposizioni  legislative, regolamentari  o amministrative, la  prestazione del  servizio sia riservata a  una particolare professione;</w:t>
            </w:r>
          </w:p>
        </w:tc>
      </w:tr>
      <w:tr w:rsidR="004C45EE" w:rsidRPr="004C45EE" w14:paraId="17A7943A" w14:textId="77777777" w:rsidTr="004C45EE">
        <w:trPr>
          <w:trHeight w:val="255"/>
        </w:trPr>
        <w:tc>
          <w:tcPr>
            <w:tcW w:w="10180" w:type="dxa"/>
            <w:tcBorders>
              <w:top w:val="nil"/>
              <w:left w:val="nil"/>
              <w:bottom w:val="nil"/>
              <w:right w:val="nil"/>
            </w:tcBorders>
            <w:shd w:val="clear" w:color="auto" w:fill="auto"/>
            <w:hideMark/>
          </w:tcPr>
          <w:p w14:paraId="3AD4FAD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 una breve descrizione delle caratteristiche principali della procedura di aggiudicazione.</w:t>
            </w:r>
          </w:p>
        </w:tc>
      </w:tr>
      <w:tr w:rsidR="004C45EE" w:rsidRPr="004C45EE" w14:paraId="56488C83" w14:textId="77777777" w:rsidTr="004C45EE">
        <w:trPr>
          <w:trHeight w:val="765"/>
        </w:trPr>
        <w:tc>
          <w:tcPr>
            <w:tcW w:w="10180" w:type="dxa"/>
            <w:tcBorders>
              <w:top w:val="nil"/>
              <w:left w:val="nil"/>
              <w:bottom w:val="nil"/>
              <w:right w:val="nil"/>
            </w:tcBorders>
            <w:shd w:val="clear" w:color="auto" w:fill="auto"/>
            <w:hideMark/>
          </w:tcPr>
          <w:p w14:paraId="12EE2D3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Indicazione del fatto che gli operatori economici interessati devono far conoscere all’ente aggiudicatore il loro interesse per l’appalto o gli appalti, termini per la ricezione delle manifestazioni d'interesse e l'indirizzo al quale devono essere trasmesse le manifestazioni d'interesse.</w:t>
            </w:r>
          </w:p>
        </w:tc>
      </w:tr>
      <w:tr w:rsidR="004C45EE" w:rsidRPr="004C45EE" w14:paraId="0C60D2E9" w14:textId="77777777" w:rsidTr="004C45EE">
        <w:trPr>
          <w:trHeight w:val="255"/>
        </w:trPr>
        <w:tc>
          <w:tcPr>
            <w:tcW w:w="10180" w:type="dxa"/>
            <w:tcBorders>
              <w:top w:val="nil"/>
              <w:left w:val="nil"/>
              <w:bottom w:val="nil"/>
              <w:right w:val="nil"/>
            </w:tcBorders>
            <w:shd w:val="clear" w:color="auto" w:fill="auto"/>
            <w:hideMark/>
          </w:tcPr>
          <w:p w14:paraId="38436405"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III. Avviso sull'esistenza di un sistema di qualificazione</w:t>
            </w:r>
          </w:p>
        </w:tc>
      </w:tr>
      <w:tr w:rsidR="004C45EE" w:rsidRPr="004C45EE" w14:paraId="6D8A82D0" w14:textId="77777777" w:rsidTr="004C45EE">
        <w:trPr>
          <w:trHeight w:val="510"/>
        </w:trPr>
        <w:tc>
          <w:tcPr>
            <w:tcW w:w="10180" w:type="dxa"/>
            <w:tcBorders>
              <w:top w:val="nil"/>
              <w:left w:val="nil"/>
              <w:bottom w:val="nil"/>
              <w:right w:val="nil"/>
            </w:tcBorders>
            <w:shd w:val="clear" w:color="auto" w:fill="auto"/>
            <w:hideMark/>
          </w:tcPr>
          <w:p w14:paraId="7987E5DF"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Nome, numero di identificazione (ove previsto dalla legislazione nazionale), indirizzo comprensivo di codice NUTS, posta elettronica e indirizzo Internet della stazione appaltante.</w:t>
            </w:r>
          </w:p>
        </w:tc>
      </w:tr>
      <w:tr w:rsidR="004C45EE" w:rsidRPr="004C45EE" w14:paraId="45C89633" w14:textId="77777777" w:rsidTr="004C45EE">
        <w:trPr>
          <w:trHeight w:val="255"/>
        </w:trPr>
        <w:tc>
          <w:tcPr>
            <w:tcW w:w="10180" w:type="dxa"/>
            <w:tcBorders>
              <w:top w:val="nil"/>
              <w:left w:val="nil"/>
              <w:bottom w:val="nil"/>
              <w:right w:val="nil"/>
            </w:tcBorders>
            <w:shd w:val="clear" w:color="auto" w:fill="auto"/>
            <w:hideMark/>
          </w:tcPr>
          <w:p w14:paraId="75C9477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Una breve descrizione del contratto in questione, compresi i codici CPV.</w:t>
            </w:r>
          </w:p>
        </w:tc>
      </w:tr>
      <w:tr w:rsidR="004C45EE" w:rsidRPr="004C45EE" w14:paraId="45041046" w14:textId="77777777" w:rsidTr="004C45EE">
        <w:trPr>
          <w:trHeight w:val="255"/>
        </w:trPr>
        <w:tc>
          <w:tcPr>
            <w:tcW w:w="10180" w:type="dxa"/>
            <w:tcBorders>
              <w:top w:val="nil"/>
              <w:left w:val="nil"/>
              <w:bottom w:val="nil"/>
              <w:right w:val="nil"/>
            </w:tcBorders>
            <w:shd w:val="clear" w:color="auto" w:fill="auto"/>
            <w:hideMark/>
          </w:tcPr>
          <w:p w14:paraId="3B36EBE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Se noti:</w:t>
            </w:r>
          </w:p>
        </w:tc>
      </w:tr>
      <w:tr w:rsidR="004C45EE" w:rsidRPr="004C45EE" w14:paraId="074EACD5" w14:textId="77777777" w:rsidTr="004C45EE">
        <w:trPr>
          <w:trHeight w:val="510"/>
        </w:trPr>
        <w:tc>
          <w:tcPr>
            <w:tcW w:w="10180" w:type="dxa"/>
            <w:tcBorders>
              <w:top w:val="nil"/>
              <w:left w:val="nil"/>
              <w:bottom w:val="nil"/>
              <w:right w:val="nil"/>
            </w:tcBorders>
            <w:shd w:val="clear" w:color="auto" w:fill="auto"/>
            <w:hideMark/>
          </w:tcPr>
          <w:p w14:paraId="47F118BC"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a) il codice NUTS del luogo principale per l'esecuzione dei lavori nel caso di appalti di lavori o il codice NUTS del luogo principale di consegna o di prestazione</w:t>
            </w:r>
          </w:p>
        </w:tc>
      </w:tr>
      <w:tr w:rsidR="004C45EE" w:rsidRPr="004C45EE" w14:paraId="3E9B209D" w14:textId="77777777" w:rsidTr="004C45EE">
        <w:trPr>
          <w:trHeight w:val="255"/>
        </w:trPr>
        <w:tc>
          <w:tcPr>
            <w:tcW w:w="10180" w:type="dxa"/>
            <w:tcBorders>
              <w:top w:val="nil"/>
              <w:left w:val="nil"/>
              <w:bottom w:val="nil"/>
              <w:right w:val="nil"/>
            </w:tcBorders>
            <w:shd w:val="clear" w:color="auto" w:fill="auto"/>
            <w:hideMark/>
          </w:tcPr>
          <w:p w14:paraId="70491442"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per le forniture e i servizi;</w:t>
            </w:r>
          </w:p>
        </w:tc>
      </w:tr>
      <w:tr w:rsidR="004C45EE" w:rsidRPr="004C45EE" w14:paraId="68E107C6" w14:textId="77777777" w:rsidTr="004C45EE">
        <w:trPr>
          <w:trHeight w:val="255"/>
        </w:trPr>
        <w:tc>
          <w:tcPr>
            <w:tcW w:w="10180" w:type="dxa"/>
            <w:tcBorders>
              <w:top w:val="nil"/>
              <w:left w:val="nil"/>
              <w:bottom w:val="nil"/>
              <w:right w:val="nil"/>
            </w:tcBorders>
            <w:shd w:val="clear" w:color="auto" w:fill="auto"/>
            <w:hideMark/>
          </w:tcPr>
          <w:p w14:paraId="603EEB98"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b) tempi di consegna o di fornitura di prodotti, lavori o servizi e durata del contratto;</w:t>
            </w:r>
          </w:p>
        </w:tc>
      </w:tr>
      <w:tr w:rsidR="004C45EE" w:rsidRPr="004C45EE" w14:paraId="000E4665" w14:textId="77777777" w:rsidTr="004C45EE">
        <w:trPr>
          <w:trHeight w:val="255"/>
        </w:trPr>
        <w:tc>
          <w:tcPr>
            <w:tcW w:w="10180" w:type="dxa"/>
            <w:tcBorders>
              <w:top w:val="nil"/>
              <w:left w:val="nil"/>
              <w:bottom w:val="nil"/>
              <w:right w:val="nil"/>
            </w:tcBorders>
            <w:shd w:val="clear" w:color="auto" w:fill="auto"/>
            <w:hideMark/>
          </w:tcPr>
          <w:p w14:paraId="1BF423CE"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c) condizioni di partecipazione, compreso quanto segue:</w:t>
            </w:r>
          </w:p>
        </w:tc>
      </w:tr>
      <w:tr w:rsidR="004C45EE" w:rsidRPr="004C45EE" w14:paraId="63220AF3" w14:textId="77777777" w:rsidTr="004C45EE">
        <w:trPr>
          <w:trHeight w:val="510"/>
        </w:trPr>
        <w:tc>
          <w:tcPr>
            <w:tcW w:w="10180" w:type="dxa"/>
            <w:tcBorders>
              <w:top w:val="nil"/>
              <w:left w:val="nil"/>
              <w:bottom w:val="nil"/>
              <w:right w:val="nil"/>
            </w:tcBorders>
            <w:shd w:val="clear" w:color="auto" w:fill="auto"/>
            <w:hideMark/>
          </w:tcPr>
          <w:p w14:paraId="3EAF38C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1) l'indicazione, eventuale, se si tratta di un appalto riservato a laboratori protetti o la cui esecuzione è riservata nell'ambito di programmi di lavoro protetti;</w:t>
            </w:r>
          </w:p>
        </w:tc>
      </w:tr>
      <w:tr w:rsidR="004C45EE" w:rsidRPr="004C45EE" w14:paraId="3D07B215" w14:textId="77777777" w:rsidTr="004C45EE">
        <w:trPr>
          <w:trHeight w:val="510"/>
        </w:trPr>
        <w:tc>
          <w:tcPr>
            <w:tcW w:w="10180" w:type="dxa"/>
            <w:tcBorders>
              <w:top w:val="nil"/>
              <w:left w:val="nil"/>
              <w:bottom w:val="nil"/>
              <w:right w:val="nil"/>
            </w:tcBorders>
            <w:shd w:val="clear" w:color="auto" w:fill="auto"/>
            <w:hideMark/>
          </w:tcPr>
          <w:p w14:paraId="2C0AFFE5"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l'indicazione eventuale  se, in forza  di disposizioni  legislative, regolamentari o  amministrative, la prestazione  del servizio  sia riservata a  una particolare professione;</w:t>
            </w:r>
          </w:p>
        </w:tc>
      </w:tr>
      <w:tr w:rsidR="004C45EE" w:rsidRPr="004C45EE" w14:paraId="3770EFF0" w14:textId="77777777" w:rsidTr="004C45EE">
        <w:trPr>
          <w:trHeight w:val="255"/>
        </w:trPr>
        <w:tc>
          <w:tcPr>
            <w:tcW w:w="10180" w:type="dxa"/>
            <w:tcBorders>
              <w:top w:val="nil"/>
              <w:left w:val="nil"/>
              <w:bottom w:val="nil"/>
              <w:right w:val="nil"/>
            </w:tcBorders>
            <w:shd w:val="clear" w:color="auto" w:fill="auto"/>
            <w:hideMark/>
          </w:tcPr>
          <w:p w14:paraId="6B47AAD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d) una breve descrizione delle caratteristiche principali della procedura di aggiudicazione.</w:t>
            </w:r>
          </w:p>
        </w:tc>
      </w:tr>
      <w:tr w:rsidR="004C45EE" w:rsidRPr="004C45EE" w14:paraId="743EEE97" w14:textId="77777777" w:rsidTr="004C45EE">
        <w:trPr>
          <w:trHeight w:val="765"/>
        </w:trPr>
        <w:tc>
          <w:tcPr>
            <w:tcW w:w="10180" w:type="dxa"/>
            <w:tcBorders>
              <w:top w:val="nil"/>
              <w:left w:val="nil"/>
              <w:bottom w:val="nil"/>
              <w:right w:val="nil"/>
            </w:tcBorders>
            <w:shd w:val="clear" w:color="auto" w:fill="auto"/>
            <w:hideMark/>
          </w:tcPr>
          <w:p w14:paraId="02B1A621"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Indicazione del fatto che gli operatori economici interessati devono far conoscere all’ente aggiudicatore il loro interesse per lo/gli appalto/i, termini per la ricezione delle manifestazioni d'interesse e l'indirizzo al quale devono essere trasmesse le manifestazioni d'interesse.</w:t>
            </w:r>
          </w:p>
        </w:tc>
      </w:tr>
      <w:tr w:rsidR="004C45EE" w:rsidRPr="004C45EE" w14:paraId="0DE8C46C" w14:textId="77777777" w:rsidTr="004C45EE">
        <w:trPr>
          <w:trHeight w:val="255"/>
        </w:trPr>
        <w:tc>
          <w:tcPr>
            <w:tcW w:w="10180" w:type="dxa"/>
            <w:tcBorders>
              <w:top w:val="nil"/>
              <w:left w:val="nil"/>
              <w:bottom w:val="nil"/>
              <w:right w:val="nil"/>
            </w:tcBorders>
            <w:shd w:val="clear" w:color="auto" w:fill="auto"/>
            <w:hideMark/>
          </w:tcPr>
          <w:p w14:paraId="2D54165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Periodo di validità del sistema di qualificazione e formalità da espletare per il suo rinnovo.</w:t>
            </w:r>
          </w:p>
        </w:tc>
      </w:tr>
      <w:tr w:rsidR="004C45EE" w:rsidRPr="004C45EE" w14:paraId="3DA8414D" w14:textId="77777777" w:rsidTr="004C45EE">
        <w:trPr>
          <w:trHeight w:val="255"/>
        </w:trPr>
        <w:tc>
          <w:tcPr>
            <w:tcW w:w="10180" w:type="dxa"/>
            <w:tcBorders>
              <w:top w:val="nil"/>
              <w:left w:val="nil"/>
              <w:bottom w:val="nil"/>
              <w:right w:val="nil"/>
            </w:tcBorders>
            <w:shd w:val="clear" w:color="auto" w:fill="auto"/>
            <w:hideMark/>
          </w:tcPr>
          <w:p w14:paraId="35C4100B" w14:textId="77777777" w:rsidR="004C45EE" w:rsidRPr="004C45EE" w:rsidRDefault="004C45EE" w:rsidP="004C45EE">
            <w:pPr>
              <w:shd w:val="clear" w:color="auto" w:fill="F2F2F2" w:themeFill="background1" w:themeFillShade="F2"/>
              <w:rPr>
                <w:rFonts w:eastAsia="Times New Roman"/>
                <w:b/>
                <w:bCs/>
                <w:kern w:val="0"/>
                <w:sz w:val="20"/>
                <w:szCs w:val="20"/>
                <w:lang w:eastAsia="it-IT"/>
              </w:rPr>
            </w:pPr>
            <w:r w:rsidRPr="004C45EE">
              <w:rPr>
                <w:rFonts w:eastAsia="Times New Roman"/>
                <w:b/>
                <w:bCs/>
                <w:kern w:val="0"/>
                <w:sz w:val="20"/>
                <w:szCs w:val="20"/>
                <w:lang w:eastAsia="it-IT"/>
              </w:rPr>
              <w:t>IV. Avviso di aggiudicazione</w:t>
            </w:r>
          </w:p>
        </w:tc>
      </w:tr>
      <w:tr w:rsidR="004C45EE" w:rsidRPr="004C45EE" w14:paraId="2F39FB1C" w14:textId="77777777" w:rsidTr="004C45EE">
        <w:trPr>
          <w:trHeight w:val="765"/>
        </w:trPr>
        <w:tc>
          <w:tcPr>
            <w:tcW w:w="10180" w:type="dxa"/>
            <w:tcBorders>
              <w:top w:val="nil"/>
              <w:left w:val="nil"/>
              <w:bottom w:val="nil"/>
              <w:right w:val="nil"/>
            </w:tcBorders>
            <w:shd w:val="clear" w:color="auto" w:fill="auto"/>
            <w:hideMark/>
          </w:tcPr>
          <w:p w14:paraId="7ADDEF8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lastRenderedPageBreak/>
              <w:t>1. Nome, numero di identificazione (ove previsto dalla legislazione nazionale), indirizzo comprensivo di codice NUTS, telefono, fax, posta elettronica e indirizzo Internet dell’ente aggiudicatore e, se diverso, del servizio al quale rivolgersi per informazioni complementari.</w:t>
            </w:r>
          </w:p>
        </w:tc>
      </w:tr>
      <w:tr w:rsidR="004C45EE" w:rsidRPr="004C45EE" w14:paraId="1EBC40B2" w14:textId="77777777" w:rsidTr="004C45EE">
        <w:trPr>
          <w:trHeight w:val="255"/>
        </w:trPr>
        <w:tc>
          <w:tcPr>
            <w:tcW w:w="10180" w:type="dxa"/>
            <w:tcBorders>
              <w:top w:val="nil"/>
              <w:left w:val="nil"/>
              <w:bottom w:val="nil"/>
              <w:right w:val="nil"/>
            </w:tcBorders>
            <w:shd w:val="clear" w:color="auto" w:fill="auto"/>
            <w:hideMark/>
          </w:tcPr>
          <w:p w14:paraId="5E63338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2. Principale attività esercitata.</w:t>
            </w:r>
          </w:p>
        </w:tc>
      </w:tr>
      <w:tr w:rsidR="004C45EE" w:rsidRPr="004C45EE" w14:paraId="31E16662" w14:textId="77777777" w:rsidTr="004C45EE">
        <w:trPr>
          <w:trHeight w:val="255"/>
        </w:trPr>
        <w:tc>
          <w:tcPr>
            <w:tcW w:w="10180" w:type="dxa"/>
            <w:tcBorders>
              <w:top w:val="nil"/>
              <w:left w:val="nil"/>
              <w:bottom w:val="nil"/>
              <w:right w:val="nil"/>
            </w:tcBorders>
            <w:shd w:val="clear" w:color="auto" w:fill="auto"/>
            <w:hideMark/>
          </w:tcPr>
          <w:p w14:paraId="370ABC2A"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3. Indicazione succinta del tipo e della quantità dei servizi e, se del caso, forniture e lavori accessori oggetto dell'appalto.</w:t>
            </w:r>
          </w:p>
        </w:tc>
      </w:tr>
      <w:tr w:rsidR="004C45EE" w:rsidRPr="004C45EE" w14:paraId="35A7A824" w14:textId="77777777" w:rsidTr="004C45EE">
        <w:trPr>
          <w:trHeight w:val="255"/>
        </w:trPr>
        <w:tc>
          <w:tcPr>
            <w:tcW w:w="10180" w:type="dxa"/>
            <w:tcBorders>
              <w:top w:val="nil"/>
              <w:left w:val="nil"/>
              <w:bottom w:val="nil"/>
              <w:right w:val="nil"/>
            </w:tcBorders>
            <w:shd w:val="clear" w:color="auto" w:fill="auto"/>
            <w:hideMark/>
          </w:tcPr>
          <w:p w14:paraId="2F219040"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4. Riferimento della pubblicazione dell'avviso nella Gazzetta ufficiale dell'Unione europea.</w:t>
            </w:r>
          </w:p>
        </w:tc>
      </w:tr>
      <w:tr w:rsidR="004C45EE" w:rsidRPr="004C45EE" w14:paraId="61AA6557" w14:textId="77777777" w:rsidTr="004C45EE">
        <w:trPr>
          <w:trHeight w:val="255"/>
        </w:trPr>
        <w:tc>
          <w:tcPr>
            <w:tcW w:w="10180" w:type="dxa"/>
            <w:tcBorders>
              <w:top w:val="nil"/>
              <w:left w:val="nil"/>
              <w:bottom w:val="nil"/>
              <w:right w:val="nil"/>
            </w:tcBorders>
            <w:shd w:val="clear" w:color="auto" w:fill="auto"/>
            <w:hideMark/>
          </w:tcPr>
          <w:p w14:paraId="7BEA2C1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5. Numero di offerte ricevute.</w:t>
            </w:r>
          </w:p>
        </w:tc>
      </w:tr>
      <w:tr w:rsidR="004C45EE" w:rsidRPr="004C45EE" w14:paraId="24210D9A" w14:textId="77777777" w:rsidTr="004C45EE">
        <w:trPr>
          <w:trHeight w:val="255"/>
        </w:trPr>
        <w:tc>
          <w:tcPr>
            <w:tcW w:w="10180" w:type="dxa"/>
            <w:tcBorders>
              <w:top w:val="nil"/>
              <w:left w:val="nil"/>
              <w:bottom w:val="nil"/>
              <w:right w:val="nil"/>
            </w:tcBorders>
            <w:shd w:val="clear" w:color="auto" w:fill="auto"/>
            <w:hideMark/>
          </w:tcPr>
          <w:p w14:paraId="60FEA587"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6. Nome e indirizzo del/degli operatore/i economico/i.</w:t>
            </w:r>
          </w:p>
        </w:tc>
      </w:tr>
      <w:tr w:rsidR="004C45EE" w:rsidRPr="004C45EE" w14:paraId="410CA00F" w14:textId="77777777" w:rsidTr="004C45EE">
        <w:trPr>
          <w:trHeight w:val="255"/>
        </w:trPr>
        <w:tc>
          <w:tcPr>
            <w:tcW w:w="10180" w:type="dxa"/>
            <w:tcBorders>
              <w:top w:val="nil"/>
              <w:left w:val="nil"/>
              <w:bottom w:val="nil"/>
              <w:right w:val="nil"/>
            </w:tcBorders>
            <w:shd w:val="clear" w:color="auto" w:fill="auto"/>
            <w:hideMark/>
          </w:tcPr>
          <w:p w14:paraId="23139374" w14:textId="77777777" w:rsidR="004C45EE" w:rsidRPr="004C45EE" w:rsidRDefault="004C45EE" w:rsidP="004C45EE">
            <w:pPr>
              <w:shd w:val="clear" w:color="auto" w:fill="F2F2F2" w:themeFill="background1" w:themeFillShade="F2"/>
              <w:rPr>
                <w:rFonts w:eastAsia="Times New Roman"/>
                <w:kern w:val="0"/>
                <w:sz w:val="20"/>
                <w:szCs w:val="20"/>
                <w:lang w:eastAsia="it-IT"/>
              </w:rPr>
            </w:pPr>
            <w:r w:rsidRPr="004C45EE">
              <w:rPr>
                <w:rFonts w:eastAsia="Times New Roman"/>
                <w:kern w:val="0"/>
                <w:sz w:val="20"/>
                <w:szCs w:val="20"/>
                <w:lang w:eastAsia="it-IT"/>
              </w:rPr>
              <w:t>7. Altre eventuali informazioni.</w:t>
            </w:r>
          </w:p>
        </w:tc>
      </w:tr>
    </w:tbl>
    <w:p w14:paraId="69DD6CED" w14:textId="77777777" w:rsidR="00C5206F" w:rsidRDefault="00C5206F" w:rsidP="00392637"/>
    <w:p w14:paraId="5B358FF6" w14:textId="709EB136" w:rsidR="00392637" w:rsidRDefault="004C45EE" w:rsidP="00392637">
      <w:r>
        <w:t>I</w:t>
      </w:r>
      <w:r w:rsidR="00392637">
        <w:t xml:space="preserve"> bandi di gara indicano altresì la durata del procedimento di gara, nel rispetto dei termini massimi di cui all’articolo 17, comma 3, e i criteri ambientali minimi di cui all’articolo 57, comma 2.</w:t>
      </w:r>
    </w:p>
    <w:p w14:paraId="36DFFA10" w14:textId="707C13B0" w:rsidR="00392637" w:rsidRDefault="004C45EE" w:rsidP="00392637">
      <w:r>
        <w:t xml:space="preserve">Qualora </w:t>
      </w:r>
      <w:r w:rsidR="00392637">
        <w:t xml:space="preserve">l'ANAC </w:t>
      </w:r>
      <w:r>
        <w:t>adotti</w:t>
      </w:r>
      <w:r w:rsidR="00392637">
        <w:t xml:space="preserve"> </w:t>
      </w:r>
      <w:r>
        <w:t>“</w:t>
      </w:r>
      <w:r w:rsidR="00392637">
        <w:t>bandi tipo</w:t>
      </w:r>
      <w:r>
        <w:t>”</w:t>
      </w:r>
      <w:r w:rsidR="00392637">
        <w:t>, i bandi di gara sono redatti in conformità degli stessi. Le stazioni appaltanti, nella delibera a contrarre, motivano espressamente in ordine alle deroghe al bando-tipo</w:t>
      </w:r>
    </w:p>
    <w:p w14:paraId="69BB9A44" w14:textId="7A388400" w:rsidR="004C45EE" w:rsidRDefault="004C45EE" w:rsidP="00276DF7">
      <w:pPr>
        <w:shd w:val="clear" w:color="auto" w:fill="F2F2F2" w:themeFill="background1" w:themeFillShade="F2"/>
      </w:pPr>
      <w:r>
        <w:t>PER APPROFONDIRE</w:t>
      </w:r>
    </w:p>
    <w:p w14:paraId="059EE34D" w14:textId="3AFAFD6C" w:rsidR="004C45EE" w:rsidRDefault="004C45EE" w:rsidP="00276DF7">
      <w:pPr>
        <w:shd w:val="clear" w:color="auto" w:fill="F2F2F2" w:themeFill="background1" w:themeFillShade="F2"/>
      </w:pPr>
      <w:r>
        <w:t>Ecco un esempio di bando tipo dell’Anac:</w:t>
      </w:r>
    </w:p>
    <w:p w14:paraId="374D050A" w14:textId="77777777" w:rsidR="00276DF7" w:rsidRPr="00CA2C41" w:rsidRDefault="00276DF7" w:rsidP="00276DF7">
      <w:pPr>
        <w:widowControl w:val="0"/>
        <w:shd w:val="clear" w:color="auto" w:fill="F2F2F2" w:themeFill="background1" w:themeFillShade="F2"/>
        <w:spacing w:before="60" w:after="60"/>
        <w:jc w:val="center"/>
        <w:rPr>
          <w:rFonts w:ascii="Titillium" w:hAnsi="Titillium"/>
          <w:b/>
          <w:sz w:val="36"/>
          <w:szCs w:val="36"/>
          <w:lang w:eastAsia="it-IT"/>
        </w:rPr>
      </w:pPr>
    </w:p>
    <w:p w14:paraId="20C73111" w14:textId="77777777" w:rsidR="00276DF7" w:rsidRPr="00CA2C41" w:rsidRDefault="00276DF7" w:rsidP="00276DF7">
      <w:pPr>
        <w:widowControl w:val="0"/>
        <w:shd w:val="clear" w:color="auto" w:fill="F2F2F2" w:themeFill="background1" w:themeFillShade="F2"/>
        <w:spacing w:line="23" w:lineRule="atLeast"/>
        <w:ind w:left="567"/>
        <w:jc w:val="center"/>
        <w:rPr>
          <w:rFonts w:ascii="Titillium" w:hAnsi="Titillium"/>
          <w:b/>
          <w:lang w:eastAsia="it-IT"/>
        </w:rPr>
      </w:pPr>
      <w:r w:rsidRPr="00CA2C41">
        <w:rPr>
          <w:rFonts w:ascii="Titillium" w:hAnsi="Titillium"/>
          <w:b/>
          <w:lang w:eastAsia="it-IT"/>
        </w:rPr>
        <w:t>Bando tipo n. 1/2023</w:t>
      </w:r>
    </w:p>
    <w:p w14:paraId="735422CA" w14:textId="77777777" w:rsidR="00276DF7" w:rsidRDefault="00276DF7" w:rsidP="00276DF7">
      <w:pPr>
        <w:widowControl w:val="0"/>
        <w:shd w:val="clear" w:color="auto" w:fill="F2F2F2" w:themeFill="background1" w:themeFillShade="F2"/>
        <w:spacing w:line="23" w:lineRule="atLeast"/>
        <w:ind w:left="567"/>
        <w:jc w:val="center"/>
        <w:rPr>
          <w:rFonts w:ascii="Titillium" w:hAnsi="Titillium"/>
          <w:b/>
          <w:lang w:eastAsia="it-IT"/>
        </w:rPr>
      </w:pPr>
      <w:r>
        <w:rPr>
          <w:rFonts w:ascii="Titillium" w:hAnsi="Titillium"/>
          <w:b/>
          <w:lang w:eastAsia="it-IT"/>
        </w:rPr>
        <w:t>Schema di disciplinare di gara</w:t>
      </w:r>
    </w:p>
    <w:p w14:paraId="6B4571A3" w14:textId="77777777" w:rsidR="00276DF7" w:rsidRDefault="00276DF7" w:rsidP="00276DF7">
      <w:pPr>
        <w:widowControl w:val="0"/>
        <w:shd w:val="clear" w:color="auto" w:fill="F2F2F2" w:themeFill="background1" w:themeFillShade="F2"/>
        <w:spacing w:line="23" w:lineRule="atLeast"/>
        <w:ind w:left="567"/>
        <w:rPr>
          <w:rFonts w:ascii="Titillium" w:hAnsi="Titillium"/>
          <w:b/>
          <w:lang w:eastAsia="it-IT"/>
        </w:rPr>
      </w:pPr>
    </w:p>
    <w:p w14:paraId="622570AD" w14:textId="77777777" w:rsidR="00276DF7" w:rsidRDefault="00276DF7" w:rsidP="00276DF7">
      <w:pPr>
        <w:widowControl w:val="0"/>
        <w:shd w:val="clear" w:color="auto" w:fill="F2F2F2" w:themeFill="background1" w:themeFillShade="F2"/>
        <w:spacing w:line="23" w:lineRule="atLeast"/>
        <w:ind w:left="567"/>
        <w:rPr>
          <w:rFonts w:ascii="Titillium" w:hAnsi="Titillium"/>
          <w:b/>
          <w:lang w:eastAsia="it-IT"/>
        </w:rPr>
      </w:pPr>
    </w:p>
    <w:p w14:paraId="51607D6E" w14:textId="77777777" w:rsidR="00276DF7" w:rsidRDefault="00276DF7" w:rsidP="00276DF7">
      <w:pPr>
        <w:widowControl w:val="0"/>
        <w:shd w:val="clear" w:color="auto" w:fill="F2F2F2" w:themeFill="background1" w:themeFillShade="F2"/>
        <w:spacing w:line="23" w:lineRule="atLeast"/>
        <w:ind w:left="567"/>
        <w:rPr>
          <w:rFonts w:ascii="Titillium" w:hAnsi="Titillium"/>
          <w:b/>
          <w:lang w:eastAsia="it-IT"/>
        </w:rPr>
      </w:pPr>
      <w:r>
        <w:rPr>
          <w:rFonts w:ascii="Titillium" w:hAnsi="Titillium"/>
          <w:b/>
          <w:lang w:eastAsia="it-IT"/>
        </w:rPr>
        <w:t>Procedura aperta per l’affidamento di contratti pubblici di servizi e forniture nei settori ordinari di importo superiore alle soglie europee con il criterio dell’offerta economicamente più vantaggiosa sulla base del miglior rapporto qualità/prezzo</w:t>
      </w:r>
    </w:p>
    <w:p w14:paraId="7DB8C3F7" w14:textId="77777777" w:rsidR="00276DF7" w:rsidRDefault="00276DF7" w:rsidP="00276DF7">
      <w:pPr>
        <w:widowControl w:val="0"/>
        <w:shd w:val="clear" w:color="auto" w:fill="F2F2F2" w:themeFill="background1" w:themeFillShade="F2"/>
        <w:spacing w:line="23" w:lineRule="atLeast"/>
        <w:ind w:left="567"/>
        <w:rPr>
          <w:rFonts w:ascii="Titillium" w:hAnsi="Titillium"/>
          <w:b/>
          <w:lang w:eastAsia="it-IT"/>
        </w:rPr>
      </w:pPr>
    </w:p>
    <w:p w14:paraId="30B57D8A" w14:textId="77777777" w:rsidR="00276DF7" w:rsidRDefault="00276DF7" w:rsidP="00276DF7">
      <w:pPr>
        <w:widowControl w:val="0"/>
        <w:shd w:val="clear" w:color="auto" w:fill="F2F2F2" w:themeFill="background1" w:themeFillShade="F2"/>
        <w:spacing w:before="60" w:after="60"/>
        <w:ind w:firstLine="567"/>
        <w:rPr>
          <w:rFonts w:ascii="Titillium" w:hAnsi="Titillium"/>
          <w:sz w:val="18"/>
          <w:szCs w:val="18"/>
          <w:lang w:eastAsia="it-IT"/>
        </w:rPr>
      </w:pPr>
      <w:r>
        <w:rPr>
          <w:rFonts w:ascii="Titillium" w:hAnsi="Titillium"/>
          <w:sz w:val="18"/>
          <w:szCs w:val="18"/>
          <w:lang w:eastAsia="it-IT"/>
        </w:rPr>
        <w:t>Approvato dal Consiglio dell’Autorità con delibera n. 309 del 27 giugno 2023.</w:t>
      </w:r>
    </w:p>
    <w:p w14:paraId="3D9DDC4B" w14:textId="77777777" w:rsidR="00276DF7" w:rsidRDefault="00276DF7" w:rsidP="00276DF7">
      <w:pPr>
        <w:widowControl w:val="0"/>
        <w:shd w:val="clear" w:color="auto" w:fill="F2F2F2" w:themeFill="background1" w:themeFillShade="F2"/>
        <w:spacing w:before="60" w:after="60"/>
        <w:rPr>
          <w:rFonts w:ascii="Titillium" w:hAnsi="Titillium"/>
          <w:b/>
          <w:w w:val="66"/>
          <w:lang w:eastAsia="it-IT"/>
        </w:rPr>
      </w:pPr>
      <w:r>
        <w:rPr>
          <w:rFonts w:ascii="Titillium" w:hAnsi="Titillium"/>
          <w:sz w:val="18"/>
          <w:szCs w:val="18"/>
          <w:lang w:eastAsia="it-IT"/>
        </w:rPr>
        <w:t xml:space="preserve"> </w:t>
      </w:r>
      <w:r>
        <w:br w:type="page"/>
      </w:r>
    </w:p>
    <w:p w14:paraId="6C18F5D2" w14:textId="77777777" w:rsidR="00276DF7" w:rsidRDefault="00276DF7" w:rsidP="00276DF7">
      <w:pPr>
        <w:shd w:val="clear" w:color="auto" w:fill="F2F2F2" w:themeFill="background1" w:themeFillShade="F2"/>
        <w:rPr>
          <w:rFonts w:ascii="Titillium" w:hAnsi="Titillium"/>
          <w:b/>
          <w:w w:val="66"/>
          <w:lang w:eastAsia="it-IT"/>
        </w:rPr>
      </w:pPr>
    </w:p>
    <w:p w14:paraId="149B6B8F" w14:textId="73696363" w:rsidR="00276DF7" w:rsidRPr="00276DF7" w:rsidRDefault="00276DF7" w:rsidP="00276DF7">
      <w:pPr>
        <w:pStyle w:val="Sommario1"/>
        <w:shd w:val="clear" w:color="auto" w:fill="F2F2F2" w:themeFill="background1" w:themeFillShade="F2"/>
        <w:rPr>
          <w:rFonts w:ascii="Calibri" w:hAnsi="Calibri"/>
          <w:bCs w:val="0"/>
          <w:noProof/>
          <w:sz w:val="22"/>
          <w:szCs w:val="22"/>
          <w:lang w:eastAsia="it-IT"/>
        </w:rPr>
      </w:pPr>
      <w:r>
        <w:rPr>
          <w:b/>
          <w:sz w:val="22"/>
        </w:rPr>
        <w:fldChar w:fldCharType="begin"/>
      </w:r>
      <w:r>
        <w:rPr>
          <w:rStyle w:val="Saltoaindice"/>
          <w:rFonts w:ascii="Titillium" w:hAnsi="Titillium"/>
        </w:rPr>
        <w:instrText>TOC \o "1-3" \h</w:instrText>
      </w:r>
      <w:r>
        <w:rPr>
          <w:rStyle w:val="Saltoaindice"/>
          <w:rFonts w:ascii="Titillium" w:hAnsi="Titillium"/>
          <w:b/>
          <w:sz w:val="22"/>
        </w:rPr>
        <w:fldChar w:fldCharType="separate"/>
      </w:r>
      <w:hyperlink w:anchor="_Toc139549406" w:history="1">
        <w:r w:rsidRPr="00A44500">
          <w:rPr>
            <w:rStyle w:val="Collegamentoipertestuale"/>
            <w:rFonts w:ascii="Titillium" w:hAnsi="Titillium"/>
            <w:noProof/>
          </w:rPr>
          <w:t>AMBITO DI APPLICAZIONE E ISTRUZIONI PER LA COMPILAZIONE</w:t>
        </w:r>
        <w:r>
          <w:rPr>
            <w:noProof/>
          </w:rPr>
          <w:tab/>
        </w:r>
        <w:r>
          <w:rPr>
            <w:noProof/>
          </w:rPr>
          <w:fldChar w:fldCharType="begin"/>
        </w:r>
        <w:r>
          <w:rPr>
            <w:noProof/>
          </w:rPr>
          <w:instrText xml:space="preserve"> PAGEREF _Toc139549406 \h </w:instrText>
        </w:r>
        <w:r>
          <w:rPr>
            <w:noProof/>
          </w:rPr>
        </w:r>
        <w:r>
          <w:rPr>
            <w:noProof/>
          </w:rPr>
          <w:fldChar w:fldCharType="separate"/>
        </w:r>
        <w:r>
          <w:rPr>
            <w:noProof/>
          </w:rPr>
          <w:t>4</w:t>
        </w:r>
        <w:r>
          <w:rPr>
            <w:noProof/>
          </w:rPr>
          <w:fldChar w:fldCharType="end"/>
        </w:r>
      </w:hyperlink>
    </w:p>
    <w:p w14:paraId="297A0094" w14:textId="77777777" w:rsidR="00276DF7" w:rsidRPr="00276DF7" w:rsidRDefault="00276DF7" w:rsidP="00276DF7">
      <w:pPr>
        <w:pStyle w:val="Sommario1"/>
        <w:shd w:val="clear" w:color="auto" w:fill="F2F2F2" w:themeFill="background1" w:themeFillShade="F2"/>
        <w:rPr>
          <w:rFonts w:ascii="Calibri" w:hAnsi="Calibri"/>
          <w:bCs w:val="0"/>
          <w:noProof/>
          <w:sz w:val="22"/>
          <w:szCs w:val="22"/>
          <w:lang w:eastAsia="it-IT"/>
        </w:rPr>
      </w:pPr>
      <w:hyperlink w:anchor="_Toc139549407" w:history="1">
        <w:r w:rsidRPr="00A44500">
          <w:rPr>
            <w:rStyle w:val="Collegamentoipertestuale"/>
            <w:rFonts w:ascii="Titillium" w:hAnsi="Titillium"/>
            <w:noProof/>
          </w:rPr>
          <w:t>DISCIPLINARE DI GARA</w:t>
        </w:r>
        <w:r>
          <w:rPr>
            <w:noProof/>
          </w:rPr>
          <w:tab/>
        </w:r>
        <w:r>
          <w:rPr>
            <w:noProof/>
          </w:rPr>
          <w:fldChar w:fldCharType="begin"/>
        </w:r>
        <w:r>
          <w:rPr>
            <w:noProof/>
          </w:rPr>
          <w:instrText xml:space="preserve"> PAGEREF _Toc139549407 \h </w:instrText>
        </w:r>
        <w:r>
          <w:rPr>
            <w:noProof/>
          </w:rPr>
        </w:r>
        <w:r>
          <w:rPr>
            <w:noProof/>
          </w:rPr>
          <w:fldChar w:fldCharType="separate"/>
        </w:r>
        <w:r>
          <w:rPr>
            <w:noProof/>
          </w:rPr>
          <w:t>6</w:t>
        </w:r>
        <w:r>
          <w:rPr>
            <w:noProof/>
          </w:rPr>
          <w:fldChar w:fldCharType="end"/>
        </w:r>
      </w:hyperlink>
    </w:p>
    <w:p w14:paraId="4874E703"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08" w:history="1">
        <w:r w:rsidRPr="00A44500">
          <w:rPr>
            <w:rStyle w:val="Collegamentoipertestuale"/>
            <w:rFonts w:ascii="Titillium" w:hAnsi="Titillium"/>
            <w:noProof/>
          </w:rPr>
          <w:t>PREMESSE</w:t>
        </w:r>
        <w:r>
          <w:rPr>
            <w:noProof/>
          </w:rPr>
          <w:tab/>
        </w:r>
        <w:r>
          <w:rPr>
            <w:noProof/>
          </w:rPr>
          <w:fldChar w:fldCharType="begin"/>
        </w:r>
        <w:r>
          <w:rPr>
            <w:noProof/>
          </w:rPr>
          <w:instrText xml:space="preserve"> PAGEREF _Toc139549408 \h </w:instrText>
        </w:r>
        <w:r>
          <w:rPr>
            <w:noProof/>
          </w:rPr>
        </w:r>
        <w:r>
          <w:rPr>
            <w:noProof/>
          </w:rPr>
          <w:fldChar w:fldCharType="separate"/>
        </w:r>
        <w:r>
          <w:rPr>
            <w:noProof/>
          </w:rPr>
          <w:t>6</w:t>
        </w:r>
        <w:r>
          <w:rPr>
            <w:noProof/>
          </w:rPr>
          <w:fldChar w:fldCharType="end"/>
        </w:r>
      </w:hyperlink>
    </w:p>
    <w:p w14:paraId="47CF2F3D"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09" w:history="1">
        <w:r w:rsidRPr="00A44500">
          <w:rPr>
            <w:rStyle w:val="Collegamentoipertestuale"/>
            <w:rFonts w:ascii="Titillium" w:hAnsi="Titillium"/>
            <w:noProof/>
          </w:rPr>
          <w:t>1.</w:t>
        </w:r>
        <w:r w:rsidRPr="00276DF7">
          <w:rPr>
            <w:rFonts w:ascii="Calibri" w:hAnsi="Calibri"/>
            <w:smallCaps w:val="0"/>
            <w:noProof/>
            <w:sz w:val="22"/>
            <w:szCs w:val="22"/>
            <w:lang w:eastAsia="it-IT"/>
          </w:rPr>
          <w:tab/>
        </w:r>
        <w:r w:rsidRPr="00A44500">
          <w:rPr>
            <w:rStyle w:val="Collegamentoipertestuale"/>
            <w:rFonts w:ascii="Titillium" w:hAnsi="Titillium"/>
            <w:noProof/>
          </w:rPr>
          <w:t>PIATTAFORMA TELEMATICA</w:t>
        </w:r>
        <w:r>
          <w:rPr>
            <w:noProof/>
          </w:rPr>
          <w:tab/>
        </w:r>
        <w:r>
          <w:rPr>
            <w:noProof/>
          </w:rPr>
          <w:fldChar w:fldCharType="begin"/>
        </w:r>
        <w:r>
          <w:rPr>
            <w:noProof/>
          </w:rPr>
          <w:instrText xml:space="preserve"> PAGEREF _Toc139549409 \h </w:instrText>
        </w:r>
        <w:r>
          <w:rPr>
            <w:noProof/>
          </w:rPr>
        </w:r>
        <w:r>
          <w:rPr>
            <w:noProof/>
          </w:rPr>
          <w:fldChar w:fldCharType="separate"/>
        </w:r>
        <w:r>
          <w:rPr>
            <w:noProof/>
          </w:rPr>
          <w:t>6</w:t>
        </w:r>
        <w:r>
          <w:rPr>
            <w:noProof/>
          </w:rPr>
          <w:fldChar w:fldCharType="end"/>
        </w:r>
      </w:hyperlink>
    </w:p>
    <w:p w14:paraId="72540622"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10" w:history="1">
        <w:r w:rsidRPr="00A44500">
          <w:rPr>
            <w:rStyle w:val="Collegamentoipertestuale"/>
            <w:rFonts w:ascii="Titillium" w:hAnsi="Titillium"/>
            <w:noProof/>
          </w:rPr>
          <w:t>1.1.</w:t>
        </w:r>
        <w:r w:rsidRPr="00276DF7">
          <w:rPr>
            <w:rFonts w:ascii="Calibri" w:hAnsi="Calibri"/>
            <w:iCs w:val="0"/>
            <w:noProof/>
            <w:sz w:val="22"/>
            <w:szCs w:val="22"/>
            <w:lang w:eastAsia="it-IT"/>
          </w:rPr>
          <w:tab/>
        </w:r>
        <w:r w:rsidRPr="00A44500">
          <w:rPr>
            <w:rStyle w:val="Collegamentoipertestuale"/>
            <w:rFonts w:ascii="Titillium" w:hAnsi="Titillium"/>
            <w:noProof/>
          </w:rPr>
          <w:t>LA PIATTAFORMA TELEMATICA DI NEGOZIAZIONE</w:t>
        </w:r>
        <w:r>
          <w:rPr>
            <w:noProof/>
          </w:rPr>
          <w:tab/>
        </w:r>
        <w:r>
          <w:rPr>
            <w:noProof/>
          </w:rPr>
          <w:fldChar w:fldCharType="begin"/>
        </w:r>
        <w:r>
          <w:rPr>
            <w:noProof/>
          </w:rPr>
          <w:instrText xml:space="preserve"> PAGEREF _Toc139549410 \h </w:instrText>
        </w:r>
        <w:r>
          <w:rPr>
            <w:noProof/>
          </w:rPr>
        </w:r>
        <w:r>
          <w:rPr>
            <w:noProof/>
          </w:rPr>
          <w:fldChar w:fldCharType="separate"/>
        </w:r>
        <w:r>
          <w:rPr>
            <w:noProof/>
          </w:rPr>
          <w:t>6</w:t>
        </w:r>
        <w:r>
          <w:rPr>
            <w:noProof/>
          </w:rPr>
          <w:fldChar w:fldCharType="end"/>
        </w:r>
      </w:hyperlink>
    </w:p>
    <w:p w14:paraId="1C7C316D"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11" w:history="1">
        <w:r w:rsidRPr="00A44500">
          <w:rPr>
            <w:rStyle w:val="Collegamentoipertestuale"/>
            <w:rFonts w:ascii="Titillium" w:hAnsi="Titillium"/>
            <w:noProof/>
          </w:rPr>
          <w:t>1.2.</w:t>
        </w:r>
        <w:r w:rsidRPr="00276DF7">
          <w:rPr>
            <w:rFonts w:ascii="Calibri" w:hAnsi="Calibri"/>
            <w:iCs w:val="0"/>
            <w:noProof/>
            <w:sz w:val="22"/>
            <w:szCs w:val="22"/>
            <w:lang w:eastAsia="it-IT"/>
          </w:rPr>
          <w:tab/>
        </w:r>
        <w:r w:rsidRPr="00A44500">
          <w:rPr>
            <w:rStyle w:val="Collegamentoipertestuale"/>
            <w:rFonts w:ascii="Titillium" w:hAnsi="Titillium"/>
            <w:noProof/>
          </w:rPr>
          <w:t>DOTAZIONI TECNICHE</w:t>
        </w:r>
        <w:r>
          <w:rPr>
            <w:noProof/>
          </w:rPr>
          <w:tab/>
        </w:r>
        <w:r>
          <w:rPr>
            <w:noProof/>
          </w:rPr>
          <w:fldChar w:fldCharType="begin"/>
        </w:r>
        <w:r>
          <w:rPr>
            <w:noProof/>
          </w:rPr>
          <w:instrText xml:space="preserve"> PAGEREF _Toc139549411 \h </w:instrText>
        </w:r>
        <w:r>
          <w:rPr>
            <w:noProof/>
          </w:rPr>
        </w:r>
        <w:r>
          <w:rPr>
            <w:noProof/>
          </w:rPr>
          <w:fldChar w:fldCharType="separate"/>
        </w:r>
        <w:r>
          <w:rPr>
            <w:noProof/>
          </w:rPr>
          <w:t>7</w:t>
        </w:r>
        <w:r>
          <w:rPr>
            <w:noProof/>
          </w:rPr>
          <w:fldChar w:fldCharType="end"/>
        </w:r>
      </w:hyperlink>
    </w:p>
    <w:p w14:paraId="6380EBCD"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12" w:history="1">
        <w:r w:rsidRPr="00A44500">
          <w:rPr>
            <w:rStyle w:val="Collegamentoipertestuale"/>
            <w:rFonts w:ascii="Titillium" w:hAnsi="Titillium"/>
            <w:noProof/>
          </w:rPr>
          <w:t>1.3.</w:t>
        </w:r>
        <w:r w:rsidRPr="00276DF7">
          <w:rPr>
            <w:rFonts w:ascii="Calibri" w:hAnsi="Calibri"/>
            <w:iCs w:val="0"/>
            <w:noProof/>
            <w:sz w:val="22"/>
            <w:szCs w:val="22"/>
            <w:lang w:eastAsia="it-IT"/>
          </w:rPr>
          <w:tab/>
        </w:r>
        <w:r w:rsidRPr="00A44500">
          <w:rPr>
            <w:rStyle w:val="Collegamentoipertestuale"/>
            <w:rFonts w:ascii="Titillium" w:hAnsi="Titillium"/>
            <w:noProof/>
          </w:rPr>
          <w:t>IDENTIFICAZIONE</w:t>
        </w:r>
        <w:r>
          <w:rPr>
            <w:noProof/>
          </w:rPr>
          <w:tab/>
        </w:r>
        <w:r>
          <w:rPr>
            <w:noProof/>
          </w:rPr>
          <w:fldChar w:fldCharType="begin"/>
        </w:r>
        <w:r>
          <w:rPr>
            <w:noProof/>
          </w:rPr>
          <w:instrText xml:space="preserve"> PAGEREF _Toc139549412 \h </w:instrText>
        </w:r>
        <w:r>
          <w:rPr>
            <w:noProof/>
          </w:rPr>
        </w:r>
        <w:r>
          <w:rPr>
            <w:noProof/>
          </w:rPr>
          <w:fldChar w:fldCharType="separate"/>
        </w:r>
        <w:r>
          <w:rPr>
            <w:noProof/>
          </w:rPr>
          <w:t>8</w:t>
        </w:r>
        <w:r>
          <w:rPr>
            <w:noProof/>
          </w:rPr>
          <w:fldChar w:fldCharType="end"/>
        </w:r>
      </w:hyperlink>
    </w:p>
    <w:p w14:paraId="63E30311"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13" w:history="1">
        <w:r w:rsidRPr="00A44500">
          <w:rPr>
            <w:rStyle w:val="Collegamentoipertestuale"/>
            <w:rFonts w:ascii="Titillium" w:hAnsi="Titillium"/>
            <w:noProof/>
          </w:rPr>
          <w:t>2.</w:t>
        </w:r>
        <w:r w:rsidRPr="00276DF7">
          <w:rPr>
            <w:rFonts w:ascii="Calibri" w:hAnsi="Calibri"/>
            <w:smallCaps w:val="0"/>
            <w:noProof/>
            <w:sz w:val="22"/>
            <w:szCs w:val="22"/>
            <w:lang w:eastAsia="it-IT"/>
          </w:rPr>
          <w:tab/>
        </w:r>
        <w:r w:rsidRPr="00A44500">
          <w:rPr>
            <w:rStyle w:val="Collegamentoipertestuale"/>
            <w:rFonts w:ascii="Titillium" w:hAnsi="Titillium"/>
            <w:noProof/>
          </w:rPr>
          <w:t>DOCUMENTAZIONE DI GARA, CHIARIMENTI E COMUNICAZIONI</w:t>
        </w:r>
        <w:r>
          <w:rPr>
            <w:noProof/>
          </w:rPr>
          <w:tab/>
        </w:r>
        <w:r>
          <w:rPr>
            <w:noProof/>
          </w:rPr>
          <w:fldChar w:fldCharType="begin"/>
        </w:r>
        <w:r>
          <w:rPr>
            <w:noProof/>
          </w:rPr>
          <w:instrText xml:space="preserve"> PAGEREF _Toc139549413 \h </w:instrText>
        </w:r>
        <w:r>
          <w:rPr>
            <w:noProof/>
          </w:rPr>
        </w:r>
        <w:r>
          <w:rPr>
            <w:noProof/>
          </w:rPr>
          <w:fldChar w:fldCharType="separate"/>
        </w:r>
        <w:r>
          <w:rPr>
            <w:noProof/>
          </w:rPr>
          <w:t>8</w:t>
        </w:r>
        <w:r>
          <w:rPr>
            <w:noProof/>
          </w:rPr>
          <w:fldChar w:fldCharType="end"/>
        </w:r>
      </w:hyperlink>
    </w:p>
    <w:p w14:paraId="16F99D16"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14" w:history="1">
        <w:r w:rsidRPr="00A44500">
          <w:rPr>
            <w:rStyle w:val="Collegamentoipertestuale"/>
            <w:rFonts w:ascii="Titillium" w:hAnsi="Titillium"/>
            <w:noProof/>
          </w:rPr>
          <w:t>2.1.</w:t>
        </w:r>
        <w:r w:rsidRPr="00276DF7">
          <w:rPr>
            <w:rFonts w:ascii="Calibri" w:hAnsi="Calibri"/>
            <w:iCs w:val="0"/>
            <w:noProof/>
            <w:sz w:val="22"/>
            <w:szCs w:val="22"/>
            <w:lang w:eastAsia="it-IT"/>
          </w:rPr>
          <w:tab/>
        </w:r>
        <w:r w:rsidRPr="00A44500">
          <w:rPr>
            <w:rStyle w:val="Collegamentoipertestuale"/>
            <w:rFonts w:ascii="Titillium" w:hAnsi="Titillium"/>
            <w:noProof/>
          </w:rPr>
          <w:t>DOCUMENTI DI GARA</w:t>
        </w:r>
        <w:r>
          <w:rPr>
            <w:noProof/>
          </w:rPr>
          <w:tab/>
        </w:r>
        <w:r>
          <w:rPr>
            <w:noProof/>
          </w:rPr>
          <w:fldChar w:fldCharType="begin"/>
        </w:r>
        <w:r>
          <w:rPr>
            <w:noProof/>
          </w:rPr>
          <w:instrText xml:space="preserve"> PAGEREF _Toc139549414 \h </w:instrText>
        </w:r>
        <w:r>
          <w:rPr>
            <w:noProof/>
          </w:rPr>
        </w:r>
        <w:r>
          <w:rPr>
            <w:noProof/>
          </w:rPr>
          <w:fldChar w:fldCharType="separate"/>
        </w:r>
        <w:r>
          <w:rPr>
            <w:noProof/>
          </w:rPr>
          <w:t>8</w:t>
        </w:r>
        <w:r>
          <w:rPr>
            <w:noProof/>
          </w:rPr>
          <w:fldChar w:fldCharType="end"/>
        </w:r>
      </w:hyperlink>
    </w:p>
    <w:p w14:paraId="010C1CC7"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15" w:history="1">
        <w:r w:rsidRPr="00A44500">
          <w:rPr>
            <w:rStyle w:val="Collegamentoipertestuale"/>
            <w:rFonts w:ascii="Titillium" w:hAnsi="Titillium"/>
            <w:noProof/>
          </w:rPr>
          <w:t>2.2.</w:t>
        </w:r>
        <w:r w:rsidRPr="00276DF7">
          <w:rPr>
            <w:rFonts w:ascii="Calibri" w:hAnsi="Calibri"/>
            <w:iCs w:val="0"/>
            <w:noProof/>
            <w:sz w:val="22"/>
            <w:szCs w:val="22"/>
            <w:lang w:eastAsia="it-IT"/>
          </w:rPr>
          <w:tab/>
        </w:r>
        <w:r w:rsidRPr="00A44500">
          <w:rPr>
            <w:rStyle w:val="Collegamentoipertestuale"/>
            <w:rFonts w:ascii="Titillium" w:hAnsi="Titillium"/>
            <w:noProof/>
          </w:rPr>
          <w:t>CHIARIMENTI</w:t>
        </w:r>
        <w:r>
          <w:rPr>
            <w:noProof/>
          </w:rPr>
          <w:tab/>
        </w:r>
        <w:r>
          <w:rPr>
            <w:noProof/>
          </w:rPr>
          <w:fldChar w:fldCharType="begin"/>
        </w:r>
        <w:r>
          <w:rPr>
            <w:noProof/>
          </w:rPr>
          <w:instrText xml:space="preserve"> PAGEREF _Toc139549415 \h </w:instrText>
        </w:r>
        <w:r>
          <w:rPr>
            <w:noProof/>
          </w:rPr>
        </w:r>
        <w:r>
          <w:rPr>
            <w:noProof/>
          </w:rPr>
          <w:fldChar w:fldCharType="separate"/>
        </w:r>
        <w:r>
          <w:rPr>
            <w:noProof/>
          </w:rPr>
          <w:t>9</w:t>
        </w:r>
        <w:r>
          <w:rPr>
            <w:noProof/>
          </w:rPr>
          <w:fldChar w:fldCharType="end"/>
        </w:r>
      </w:hyperlink>
    </w:p>
    <w:p w14:paraId="48B8B238"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16" w:history="1">
        <w:r w:rsidRPr="00A44500">
          <w:rPr>
            <w:rStyle w:val="Collegamentoipertestuale"/>
            <w:rFonts w:ascii="Titillium" w:hAnsi="Titillium"/>
            <w:noProof/>
          </w:rPr>
          <w:t>2.3.</w:t>
        </w:r>
        <w:r w:rsidRPr="00276DF7">
          <w:rPr>
            <w:rFonts w:ascii="Calibri" w:hAnsi="Calibri"/>
            <w:iCs w:val="0"/>
            <w:noProof/>
            <w:sz w:val="22"/>
            <w:szCs w:val="22"/>
            <w:lang w:eastAsia="it-IT"/>
          </w:rPr>
          <w:tab/>
        </w:r>
        <w:r w:rsidRPr="00A44500">
          <w:rPr>
            <w:rStyle w:val="Collegamentoipertestuale"/>
            <w:rFonts w:ascii="Titillium" w:hAnsi="Titillium"/>
            <w:noProof/>
          </w:rPr>
          <w:t>COMUNICAZIONI</w:t>
        </w:r>
        <w:r>
          <w:rPr>
            <w:noProof/>
          </w:rPr>
          <w:tab/>
        </w:r>
        <w:r>
          <w:rPr>
            <w:noProof/>
          </w:rPr>
          <w:fldChar w:fldCharType="begin"/>
        </w:r>
        <w:r>
          <w:rPr>
            <w:noProof/>
          </w:rPr>
          <w:instrText xml:space="preserve"> PAGEREF _Toc139549416 \h </w:instrText>
        </w:r>
        <w:r>
          <w:rPr>
            <w:noProof/>
          </w:rPr>
        </w:r>
        <w:r>
          <w:rPr>
            <w:noProof/>
          </w:rPr>
          <w:fldChar w:fldCharType="separate"/>
        </w:r>
        <w:r>
          <w:rPr>
            <w:noProof/>
          </w:rPr>
          <w:t>9</w:t>
        </w:r>
        <w:r>
          <w:rPr>
            <w:noProof/>
          </w:rPr>
          <w:fldChar w:fldCharType="end"/>
        </w:r>
      </w:hyperlink>
    </w:p>
    <w:p w14:paraId="7099E376"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17" w:history="1">
        <w:r w:rsidRPr="00A44500">
          <w:rPr>
            <w:rStyle w:val="Collegamentoipertestuale"/>
            <w:rFonts w:ascii="Titillium" w:hAnsi="Titillium"/>
            <w:noProof/>
          </w:rPr>
          <w:t>3.</w:t>
        </w:r>
        <w:r w:rsidRPr="00276DF7">
          <w:rPr>
            <w:rFonts w:ascii="Calibri" w:hAnsi="Calibri"/>
            <w:smallCaps w:val="0"/>
            <w:noProof/>
            <w:sz w:val="22"/>
            <w:szCs w:val="22"/>
            <w:lang w:eastAsia="it-IT"/>
          </w:rPr>
          <w:tab/>
        </w:r>
        <w:r w:rsidRPr="00A44500">
          <w:rPr>
            <w:rStyle w:val="Collegamentoipertestuale"/>
            <w:rFonts w:ascii="Titillium" w:hAnsi="Titillium"/>
            <w:noProof/>
          </w:rPr>
          <w:t>OGGETTO DELL’APPALTO, IMPORTO E SUDDIVISIONE IN LOTTI</w:t>
        </w:r>
        <w:r>
          <w:rPr>
            <w:noProof/>
          </w:rPr>
          <w:tab/>
        </w:r>
        <w:r>
          <w:rPr>
            <w:noProof/>
          </w:rPr>
          <w:fldChar w:fldCharType="begin"/>
        </w:r>
        <w:r>
          <w:rPr>
            <w:noProof/>
          </w:rPr>
          <w:instrText xml:space="preserve"> PAGEREF _Toc139549417 \h </w:instrText>
        </w:r>
        <w:r>
          <w:rPr>
            <w:noProof/>
          </w:rPr>
        </w:r>
        <w:r>
          <w:rPr>
            <w:noProof/>
          </w:rPr>
          <w:fldChar w:fldCharType="separate"/>
        </w:r>
        <w:r>
          <w:rPr>
            <w:noProof/>
          </w:rPr>
          <w:t>10</w:t>
        </w:r>
        <w:r>
          <w:rPr>
            <w:noProof/>
          </w:rPr>
          <w:fldChar w:fldCharType="end"/>
        </w:r>
      </w:hyperlink>
    </w:p>
    <w:p w14:paraId="5AB8185B"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18" w:history="1">
        <w:r w:rsidRPr="00A44500">
          <w:rPr>
            <w:rStyle w:val="Collegamentoipertestuale"/>
            <w:rFonts w:ascii="Titillium" w:hAnsi="Titillium"/>
            <w:noProof/>
          </w:rPr>
          <w:t>3.1.</w:t>
        </w:r>
        <w:r w:rsidRPr="00276DF7">
          <w:rPr>
            <w:rFonts w:ascii="Calibri" w:hAnsi="Calibri"/>
            <w:iCs w:val="0"/>
            <w:noProof/>
            <w:sz w:val="22"/>
            <w:szCs w:val="22"/>
            <w:lang w:eastAsia="it-IT"/>
          </w:rPr>
          <w:tab/>
        </w:r>
        <w:r w:rsidRPr="00A44500">
          <w:rPr>
            <w:rStyle w:val="Collegamentoipertestuale"/>
            <w:rFonts w:ascii="Titillium" w:hAnsi="Titillium"/>
            <w:noProof/>
          </w:rPr>
          <w:t>DURATA</w:t>
        </w:r>
        <w:r>
          <w:rPr>
            <w:noProof/>
          </w:rPr>
          <w:tab/>
        </w:r>
        <w:r>
          <w:rPr>
            <w:noProof/>
          </w:rPr>
          <w:fldChar w:fldCharType="begin"/>
        </w:r>
        <w:r>
          <w:rPr>
            <w:noProof/>
          </w:rPr>
          <w:instrText xml:space="preserve"> PAGEREF _Toc139549418 \h </w:instrText>
        </w:r>
        <w:r>
          <w:rPr>
            <w:noProof/>
          </w:rPr>
        </w:r>
        <w:r>
          <w:rPr>
            <w:noProof/>
          </w:rPr>
          <w:fldChar w:fldCharType="separate"/>
        </w:r>
        <w:r>
          <w:rPr>
            <w:noProof/>
          </w:rPr>
          <w:t>12</w:t>
        </w:r>
        <w:r>
          <w:rPr>
            <w:noProof/>
          </w:rPr>
          <w:fldChar w:fldCharType="end"/>
        </w:r>
      </w:hyperlink>
    </w:p>
    <w:p w14:paraId="638B49E0"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19" w:history="1">
        <w:r w:rsidRPr="00A44500">
          <w:rPr>
            <w:rStyle w:val="Collegamentoipertestuale"/>
            <w:rFonts w:ascii="Titillium" w:hAnsi="Titillium"/>
            <w:noProof/>
          </w:rPr>
          <w:t>3.2.</w:t>
        </w:r>
        <w:r w:rsidRPr="00276DF7">
          <w:rPr>
            <w:rFonts w:ascii="Calibri" w:hAnsi="Calibri"/>
            <w:iCs w:val="0"/>
            <w:noProof/>
            <w:sz w:val="22"/>
            <w:szCs w:val="22"/>
            <w:lang w:eastAsia="it-IT"/>
          </w:rPr>
          <w:tab/>
        </w:r>
        <w:r w:rsidRPr="00A44500">
          <w:rPr>
            <w:rStyle w:val="Collegamentoipertestuale"/>
            <w:rFonts w:ascii="Titillium" w:hAnsi="Titillium"/>
            <w:noProof/>
          </w:rPr>
          <w:t>REVISIONE PREZZI</w:t>
        </w:r>
        <w:r>
          <w:rPr>
            <w:noProof/>
          </w:rPr>
          <w:tab/>
        </w:r>
        <w:r>
          <w:rPr>
            <w:noProof/>
          </w:rPr>
          <w:fldChar w:fldCharType="begin"/>
        </w:r>
        <w:r>
          <w:rPr>
            <w:noProof/>
          </w:rPr>
          <w:instrText xml:space="preserve"> PAGEREF _Toc139549419 \h </w:instrText>
        </w:r>
        <w:r>
          <w:rPr>
            <w:noProof/>
          </w:rPr>
        </w:r>
        <w:r>
          <w:rPr>
            <w:noProof/>
          </w:rPr>
          <w:fldChar w:fldCharType="separate"/>
        </w:r>
        <w:r>
          <w:rPr>
            <w:noProof/>
          </w:rPr>
          <w:t>12</w:t>
        </w:r>
        <w:r>
          <w:rPr>
            <w:noProof/>
          </w:rPr>
          <w:fldChar w:fldCharType="end"/>
        </w:r>
      </w:hyperlink>
    </w:p>
    <w:p w14:paraId="719E0903"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20" w:history="1">
        <w:r w:rsidRPr="00A44500">
          <w:rPr>
            <w:rStyle w:val="Collegamentoipertestuale"/>
            <w:rFonts w:ascii="Titillium" w:hAnsi="Titillium"/>
            <w:noProof/>
          </w:rPr>
          <w:t>3.3.</w:t>
        </w:r>
        <w:r w:rsidRPr="00276DF7">
          <w:rPr>
            <w:rFonts w:ascii="Calibri" w:hAnsi="Calibri"/>
            <w:iCs w:val="0"/>
            <w:noProof/>
            <w:sz w:val="22"/>
            <w:szCs w:val="22"/>
            <w:lang w:eastAsia="it-IT"/>
          </w:rPr>
          <w:tab/>
        </w:r>
        <w:r w:rsidRPr="00A44500">
          <w:rPr>
            <w:rStyle w:val="Collegamentoipertestuale"/>
            <w:rFonts w:ascii="Titillium" w:hAnsi="Titillium"/>
            <w:noProof/>
          </w:rPr>
          <w:t>MODIFICA DEL CONTRATTO IN FASE DI ESECUZIONE</w:t>
        </w:r>
        <w:r>
          <w:rPr>
            <w:noProof/>
          </w:rPr>
          <w:tab/>
        </w:r>
        <w:r>
          <w:rPr>
            <w:noProof/>
          </w:rPr>
          <w:fldChar w:fldCharType="begin"/>
        </w:r>
        <w:r>
          <w:rPr>
            <w:noProof/>
          </w:rPr>
          <w:instrText xml:space="preserve"> PAGEREF _Toc139549420 \h </w:instrText>
        </w:r>
        <w:r>
          <w:rPr>
            <w:noProof/>
          </w:rPr>
        </w:r>
        <w:r>
          <w:rPr>
            <w:noProof/>
          </w:rPr>
          <w:fldChar w:fldCharType="separate"/>
        </w:r>
        <w:r>
          <w:rPr>
            <w:noProof/>
          </w:rPr>
          <w:t>12</w:t>
        </w:r>
        <w:r>
          <w:rPr>
            <w:noProof/>
          </w:rPr>
          <w:fldChar w:fldCharType="end"/>
        </w:r>
      </w:hyperlink>
    </w:p>
    <w:p w14:paraId="56CCB4D8"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21" w:history="1">
        <w:r w:rsidRPr="00A44500">
          <w:rPr>
            <w:rStyle w:val="Collegamentoipertestuale"/>
            <w:rFonts w:ascii="Titillium" w:hAnsi="Titillium"/>
            <w:noProof/>
          </w:rPr>
          <w:t>4.</w:t>
        </w:r>
        <w:r w:rsidRPr="00276DF7">
          <w:rPr>
            <w:rFonts w:ascii="Calibri" w:hAnsi="Calibri"/>
            <w:smallCaps w:val="0"/>
            <w:noProof/>
            <w:sz w:val="22"/>
            <w:szCs w:val="22"/>
            <w:lang w:eastAsia="it-IT"/>
          </w:rPr>
          <w:tab/>
        </w:r>
        <w:r w:rsidRPr="00A44500">
          <w:rPr>
            <w:rStyle w:val="Collegamentoipertestuale"/>
            <w:rFonts w:ascii="Titillium" w:hAnsi="Titillium"/>
            <w:noProof/>
          </w:rPr>
          <w:t>SOGGETTI AMMESSI IN FORMA SINGOLA E ASSOCIATA E CONDIZIONI DI PARTECIPAZIONE</w:t>
        </w:r>
        <w:r>
          <w:rPr>
            <w:noProof/>
          </w:rPr>
          <w:tab/>
        </w:r>
        <w:r>
          <w:rPr>
            <w:noProof/>
          </w:rPr>
          <w:fldChar w:fldCharType="begin"/>
        </w:r>
        <w:r>
          <w:rPr>
            <w:noProof/>
          </w:rPr>
          <w:instrText xml:space="preserve"> PAGEREF _Toc139549421 \h </w:instrText>
        </w:r>
        <w:r>
          <w:rPr>
            <w:noProof/>
          </w:rPr>
        </w:r>
        <w:r>
          <w:rPr>
            <w:noProof/>
          </w:rPr>
          <w:fldChar w:fldCharType="separate"/>
        </w:r>
        <w:r>
          <w:rPr>
            <w:noProof/>
          </w:rPr>
          <w:t>13</w:t>
        </w:r>
        <w:r>
          <w:rPr>
            <w:noProof/>
          </w:rPr>
          <w:fldChar w:fldCharType="end"/>
        </w:r>
      </w:hyperlink>
    </w:p>
    <w:p w14:paraId="0642ACF2"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22" w:history="1">
        <w:r w:rsidRPr="00A44500">
          <w:rPr>
            <w:rStyle w:val="Collegamentoipertestuale"/>
            <w:rFonts w:ascii="Titillium" w:hAnsi="Titillium"/>
            <w:noProof/>
          </w:rPr>
          <w:t>5.</w:t>
        </w:r>
        <w:r w:rsidRPr="00276DF7">
          <w:rPr>
            <w:rFonts w:ascii="Calibri" w:hAnsi="Calibri"/>
            <w:smallCaps w:val="0"/>
            <w:noProof/>
            <w:sz w:val="22"/>
            <w:szCs w:val="22"/>
            <w:lang w:eastAsia="it-IT"/>
          </w:rPr>
          <w:tab/>
        </w:r>
        <w:r w:rsidRPr="00A44500">
          <w:rPr>
            <w:rStyle w:val="Collegamentoipertestuale"/>
            <w:rFonts w:ascii="Titillium" w:hAnsi="Titillium"/>
            <w:noProof/>
          </w:rPr>
          <w:t>REQUISITI DI ORDINE GENERALE E ALTRE CAUSE DI ESCLUSIONE</w:t>
        </w:r>
        <w:r>
          <w:rPr>
            <w:noProof/>
          </w:rPr>
          <w:tab/>
        </w:r>
        <w:r>
          <w:rPr>
            <w:noProof/>
          </w:rPr>
          <w:fldChar w:fldCharType="begin"/>
        </w:r>
        <w:r>
          <w:rPr>
            <w:noProof/>
          </w:rPr>
          <w:instrText xml:space="preserve"> PAGEREF _Toc139549422 \h </w:instrText>
        </w:r>
        <w:r>
          <w:rPr>
            <w:noProof/>
          </w:rPr>
        </w:r>
        <w:r>
          <w:rPr>
            <w:noProof/>
          </w:rPr>
          <w:fldChar w:fldCharType="separate"/>
        </w:r>
        <w:r>
          <w:rPr>
            <w:noProof/>
          </w:rPr>
          <w:t>15</w:t>
        </w:r>
        <w:r>
          <w:rPr>
            <w:noProof/>
          </w:rPr>
          <w:fldChar w:fldCharType="end"/>
        </w:r>
      </w:hyperlink>
    </w:p>
    <w:p w14:paraId="46F177A9"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23" w:history="1">
        <w:r w:rsidRPr="00A44500">
          <w:rPr>
            <w:rStyle w:val="Collegamentoipertestuale"/>
            <w:rFonts w:ascii="Titillium" w:hAnsi="Titillium"/>
            <w:noProof/>
          </w:rPr>
          <w:t>6.</w:t>
        </w:r>
        <w:r w:rsidRPr="00276DF7">
          <w:rPr>
            <w:rFonts w:ascii="Calibri" w:hAnsi="Calibri"/>
            <w:smallCaps w:val="0"/>
            <w:noProof/>
            <w:sz w:val="22"/>
            <w:szCs w:val="22"/>
            <w:lang w:eastAsia="it-IT"/>
          </w:rPr>
          <w:tab/>
        </w:r>
        <w:r w:rsidRPr="00A44500">
          <w:rPr>
            <w:rStyle w:val="Collegamentoipertestuale"/>
            <w:rFonts w:ascii="Titillium" w:hAnsi="Titillium"/>
            <w:noProof/>
          </w:rPr>
          <w:t>REQUISITI DI ORDINE SPECIALE E MEZZI DI PROVA</w:t>
        </w:r>
        <w:r>
          <w:rPr>
            <w:noProof/>
          </w:rPr>
          <w:tab/>
        </w:r>
        <w:r>
          <w:rPr>
            <w:noProof/>
          </w:rPr>
          <w:fldChar w:fldCharType="begin"/>
        </w:r>
        <w:r>
          <w:rPr>
            <w:noProof/>
          </w:rPr>
          <w:instrText xml:space="preserve"> PAGEREF _Toc139549423 \h </w:instrText>
        </w:r>
        <w:r>
          <w:rPr>
            <w:noProof/>
          </w:rPr>
        </w:r>
        <w:r>
          <w:rPr>
            <w:noProof/>
          </w:rPr>
          <w:fldChar w:fldCharType="separate"/>
        </w:r>
        <w:r>
          <w:rPr>
            <w:noProof/>
          </w:rPr>
          <w:t>17</w:t>
        </w:r>
        <w:r>
          <w:rPr>
            <w:noProof/>
          </w:rPr>
          <w:fldChar w:fldCharType="end"/>
        </w:r>
      </w:hyperlink>
    </w:p>
    <w:p w14:paraId="38886DA1"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24" w:history="1">
        <w:r w:rsidRPr="00A44500">
          <w:rPr>
            <w:rStyle w:val="Collegamentoipertestuale"/>
            <w:rFonts w:ascii="Titillium" w:hAnsi="Titillium"/>
            <w:noProof/>
          </w:rPr>
          <w:t>6.1.</w:t>
        </w:r>
        <w:r w:rsidRPr="00276DF7">
          <w:rPr>
            <w:rFonts w:ascii="Calibri" w:hAnsi="Calibri"/>
            <w:iCs w:val="0"/>
            <w:noProof/>
            <w:sz w:val="22"/>
            <w:szCs w:val="22"/>
            <w:lang w:eastAsia="it-IT"/>
          </w:rPr>
          <w:tab/>
        </w:r>
        <w:r w:rsidRPr="00A44500">
          <w:rPr>
            <w:rStyle w:val="Collegamentoipertestuale"/>
            <w:rFonts w:ascii="Titillium" w:hAnsi="Titillium"/>
            <w:noProof/>
          </w:rPr>
          <w:t>REQUISITI DI IDONEITÀ PROFESSIONALE</w:t>
        </w:r>
        <w:r>
          <w:rPr>
            <w:noProof/>
          </w:rPr>
          <w:tab/>
        </w:r>
        <w:r>
          <w:rPr>
            <w:noProof/>
          </w:rPr>
          <w:fldChar w:fldCharType="begin"/>
        </w:r>
        <w:r>
          <w:rPr>
            <w:noProof/>
          </w:rPr>
          <w:instrText xml:space="preserve"> PAGEREF _Toc139549424 \h </w:instrText>
        </w:r>
        <w:r>
          <w:rPr>
            <w:noProof/>
          </w:rPr>
        </w:r>
        <w:r>
          <w:rPr>
            <w:noProof/>
          </w:rPr>
          <w:fldChar w:fldCharType="separate"/>
        </w:r>
        <w:r>
          <w:rPr>
            <w:noProof/>
          </w:rPr>
          <w:t>17</w:t>
        </w:r>
        <w:r>
          <w:rPr>
            <w:noProof/>
          </w:rPr>
          <w:fldChar w:fldCharType="end"/>
        </w:r>
      </w:hyperlink>
    </w:p>
    <w:p w14:paraId="64E28E28"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25" w:history="1">
        <w:r w:rsidRPr="00A44500">
          <w:rPr>
            <w:rStyle w:val="Collegamentoipertestuale"/>
            <w:rFonts w:ascii="Titillium" w:hAnsi="Titillium"/>
            <w:noProof/>
          </w:rPr>
          <w:t>6.2.</w:t>
        </w:r>
        <w:r w:rsidRPr="00276DF7">
          <w:rPr>
            <w:rFonts w:ascii="Calibri" w:hAnsi="Calibri"/>
            <w:iCs w:val="0"/>
            <w:noProof/>
            <w:sz w:val="22"/>
            <w:szCs w:val="22"/>
            <w:lang w:eastAsia="it-IT"/>
          </w:rPr>
          <w:tab/>
        </w:r>
        <w:r w:rsidRPr="00A44500">
          <w:rPr>
            <w:rStyle w:val="Collegamentoipertestuale"/>
            <w:rFonts w:ascii="Titillium" w:hAnsi="Titillium"/>
            <w:noProof/>
          </w:rPr>
          <w:t>REQUISITI DI CAPACITÀ ECONOMICA E FINANZIARIA</w:t>
        </w:r>
        <w:r>
          <w:rPr>
            <w:noProof/>
          </w:rPr>
          <w:tab/>
        </w:r>
        <w:r>
          <w:rPr>
            <w:noProof/>
          </w:rPr>
          <w:fldChar w:fldCharType="begin"/>
        </w:r>
        <w:r>
          <w:rPr>
            <w:noProof/>
          </w:rPr>
          <w:instrText xml:space="preserve"> PAGEREF _Toc139549425 \h </w:instrText>
        </w:r>
        <w:r>
          <w:rPr>
            <w:noProof/>
          </w:rPr>
        </w:r>
        <w:r>
          <w:rPr>
            <w:noProof/>
          </w:rPr>
          <w:fldChar w:fldCharType="separate"/>
        </w:r>
        <w:r>
          <w:rPr>
            <w:noProof/>
          </w:rPr>
          <w:t>17</w:t>
        </w:r>
        <w:r>
          <w:rPr>
            <w:noProof/>
          </w:rPr>
          <w:fldChar w:fldCharType="end"/>
        </w:r>
      </w:hyperlink>
    </w:p>
    <w:p w14:paraId="6274781C"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26" w:history="1">
        <w:r w:rsidRPr="00A44500">
          <w:rPr>
            <w:rStyle w:val="Collegamentoipertestuale"/>
            <w:rFonts w:ascii="Titillium" w:hAnsi="Titillium"/>
            <w:noProof/>
          </w:rPr>
          <w:t>6.3.</w:t>
        </w:r>
        <w:r w:rsidRPr="00276DF7">
          <w:rPr>
            <w:rFonts w:ascii="Calibri" w:hAnsi="Calibri"/>
            <w:iCs w:val="0"/>
            <w:noProof/>
            <w:sz w:val="22"/>
            <w:szCs w:val="22"/>
            <w:lang w:eastAsia="it-IT"/>
          </w:rPr>
          <w:tab/>
        </w:r>
        <w:r w:rsidRPr="00A44500">
          <w:rPr>
            <w:rStyle w:val="Collegamentoipertestuale"/>
            <w:rFonts w:ascii="Titillium" w:hAnsi="Titillium"/>
            <w:noProof/>
          </w:rPr>
          <w:t>REQUISITI DI CAPACITÀ TECNICA E PROFESSIONALE</w:t>
        </w:r>
        <w:r>
          <w:rPr>
            <w:noProof/>
          </w:rPr>
          <w:tab/>
        </w:r>
        <w:r>
          <w:rPr>
            <w:noProof/>
          </w:rPr>
          <w:fldChar w:fldCharType="begin"/>
        </w:r>
        <w:r>
          <w:rPr>
            <w:noProof/>
          </w:rPr>
          <w:instrText xml:space="preserve"> PAGEREF _Toc139549426 \h </w:instrText>
        </w:r>
        <w:r>
          <w:rPr>
            <w:noProof/>
          </w:rPr>
        </w:r>
        <w:r>
          <w:rPr>
            <w:noProof/>
          </w:rPr>
          <w:fldChar w:fldCharType="separate"/>
        </w:r>
        <w:r>
          <w:rPr>
            <w:noProof/>
          </w:rPr>
          <w:t>18</w:t>
        </w:r>
        <w:r>
          <w:rPr>
            <w:noProof/>
          </w:rPr>
          <w:fldChar w:fldCharType="end"/>
        </w:r>
      </w:hyperlink>
    </w:p>
    <w:p w14:paraId="2930B35F"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27" w:history="1">
        <w:r w:rsidRPr="00A44500">
          <w:rPr>
            <w:rStyle w:val="Collegamentoipertestuale"/>
            <w:rFonts w:ascii="Titillium" w:hAnsi="Titillium"/>
            <w:noProof/>
          </w:rPr>
          <w:t>6.4.</w:t>
        </w:r>
        <w:r w:rsidRPr="00276DF7">
          <w:rPr>
            <w:rFonts w:ascii="Calibri" w:hAnsi="Calibri"/>
            <w:iCs w:val="0"/>
            <w:noProof/>
            <w:sz w:val="22"/>
            <w:szCs w:val="22"/>
            <w:lang w:eastAsia="it-IT"/>
          </w:rPr>
          <w:tab/>
        </w:r>
        <w:r w:rsidRPr="00A44500">
          <w:rPr>
            <w:rStyle w:val="Collegamentoipertestuale"/>
            <w:rFonts w:ascii="Titillium" w:hAnsi="Titillium"/>
            <w:noProof/>
          </w:rPr>
          <w:t>INDICAZIONI SUI REQUISITI SPECIALI NEI RAGGRUPPAMENTI TEMPORANEI, CONSORZI ORDINARI, AGGREGAZIONI DI IMPRESE DI RETE, GEIE</w:t>
        </w:r>
        <w:r>
          <w:rPr>
            <w:noProof/>
          </w:rPr>
          <w:tab/>
        </w:r>
        <w:r>
          <w:rPr>
            <w:noProof/>
          </w:rPr>
          <w:fldChar w:fldCharType="begin"/>
        </w:r>
        <w:r>
          <w:rPr>
            <w:noProof/>
          </w:rPr>
          <w:instrText xml:space="preserve"> PAGEREF _Toc139549427 \h </w:instrText>
        </w:r>
        <w:r>
          <w:rPr>
            <w:noProof/>
          </w:rPr>
        </w:r>
        <w:r>
          <w:rPr>
            <w:noProof/>
          </w:rPr>
          <w:fldChar w:fldCharType="separate"/>
        </w:r>
        <w:r>
          <w:rPr>
            <w:noProof/>
          </w:rPr>
          <w:t>18</w:t>
        </w:r>
        <w:r>
          <w:rPr>
            <w:noProof/>
          </w:rPr>
          <w:fldChar w:fldCharType="end"/>
        </w:r>
      </w:hyperlink>
    </w:p>
    <w:p w14:paraId="4C5E1E40"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28" w:history="1">
        <w:r w:rsidRPr="00A44500">
          <w:rPr>
            <w:rStyle w:val="Collegamentoipertestuale"/>
            <w:rFonts w:ascii="Titillium" w:hAnsi="Titillium"/>
            <w:noProof/>
          </w:rPr>
          <w:t>6.5.</w:t>
        </w:r>
        <w:r w:rsidRPr="00276DF7">
          <w:rPr>
            <w:rFonts w:ascii="Calibri" w:hAnsi="Calibri"/>
            <w:iCs w:val="0"/>
            <w:noProof/>
            <w:sz w:val="22"/>
            <w:szCs w:val="22"/>
            <w:lang w:eastAsia="it-IT"/>
          </w:rPr>
          <w:tab/>
        </w:r>
        <w:r w:rsidRPr="00A44500">
          <w:rPr>
            <w:rStyle w:val="Collegamentoipertestuale"/>
            <w:rFonts w:ascii="Titillium" w:hAnsi="Titillium"/>
            <w:noProof/>
          </w:rPr>
          <w:t>INDICAZIONI SUI REQUISITI SPECIALI NEI CONSORZI DI COOPERATIVE, CONSORZI DI IMPRESE ARTIGIANE, CONSORZI STABILI</w:t>
        </w:r>
        <w:r>
          <w:rPr>
            <w:noProof/>
          </w:rPr>
          <w:tab/>
        </w:r>
        <w:r>
          <w:rPr>
            <w:noProof/>
          </w:rPr>
          <w:fldChar w:fldCharType="begin"/>
        </w:r>
        <w:r>
          <w:rPr>
            <w:noProof/>
          </w:rPr>
          <w:instrText xml:space="preserve"> PAGEREF _Toc139549428 \h </w:instrText>
        </w:r>
        <w:r>
          <w:rPr>
            <w:noProof/>
          </w:rPr>
        </w:r>
        <w:r>
          <w:rPr>
            <w:noProof/>
          </w:rPr>
          <w:fldChar w:fldCharType="separate"/>
        </w:r>
        <w:r>
          <w:rPr>
            <w:noProof/>
          </w:rPr>
          <w:t>19</w:t>
        </w:r>
        <w:r>
          <w:rPr>
            <w:noProof/>
          </w:rPr>
          <w:fldChar w:fldCharType="end"/>
        </w:r>
      </w:hyperlink>
    </w:p>
    <w:p w14:paraId="51BB55D1"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29" w:history="1">
        <w:r w:rsidRPr="00A44500">
          <w:rPr>
            <w:rStyle w:val="Collegamentoipertestuale"/>
            <w:rFonts w:ascii="Titillium" w:hAnsi="Titillium"/>
            <w:noProof/>
          </w:rPr>
          <w:t>7.</w:t>
        </w:r>
        <w:r w:rsidRPr="00276DF7">
          <w:rPr>
            <w:rFonts w:ascii="Calibri" w:hAnsi="Calibri"/>
            <w:smallCaps w:val="0"/>
            <w:noProof/>
            <w:sz w:val="22"/>
            <w:szCs w:val="22"/>
            <w:lang w:eastAsia="it-IT"/>
          </w:rPr>
          <w:tab/>
        </w:r>
        <w:r w:rsidRPr="00A44500">
          <w:rPr>
            <w:rStyle w:val="Collegamentoipertestuale"/>
            <w:rFonts w:ascii="Titillium" w:hAnsi="Titillium"/>
            <w:noProof/>
          </w:rPr>
          <w:t>AVVALIMENTO</w:t>
        </w:r>
        <w:r>
          <w:rPr>
            <w:noProof/>
          </w:rPr>
          <w:tab/>
        </w:r>
        <w:r>
          <w:rPr>
            <w:noProof/>
          </w:rPr>
          <w:fldChar w:fldCharType="begin"/>
        </w:r>
        <w:r>
          <w:rPr>
            <w:noProof/>
          </w:rPr>
          <w:instrText xml:space="preserve"> PAGEREF _Toc139549429 \h </w:instrText>
        </w:r>
        <w:r>
          <w:rPr>
            <w:noProof/>
          </w:rPr>
        </w:r>
        <w:r>
          <w:rPr>
            <w:noProof/>
          </w:rPr>
          <w:fldChar w:fldCharType="separate"/>
        </w:r>
        <w:r>
          <w:rPr>
            <w:noProof/>
          </w:rPr>
          <w:t>20</w:t>
        </w:r>
        <w:r>
          <w:rPr>
            <w:noProof/>
          </w:rPr>
          <w:fldChar w:fldCharType="end"/>
        </w:r>
      </w:hyperlink>
    </w:p>
    <w:p w14:paraId="1AD8013A"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30" w:history="1">
        <w:r w:rsidRPr="00A44500">
          <w:rPr>
            <w:rStyle w:val="Collegamentoipertestuale"/>
            <w:rFonts w:ascii="Titillium" w:hAnsi="Titillium"/>
            <w:noProof/>
          </w:rPr>
          <w:t>8.</w:t>
        </w:r>
        <w:r w:rsidRPr="00276DF7">
          <w:rPr>
            <w:rFonts w:ascii="Calibri" w:hAnsi="Calibri"/>
            <w:smallCaps w:val="0"/>
            <w:noProof/>
            <w:sz w:val="22"/>
            <w:szCs w:val="22"/>
            <w:lang w:eastAsia="it-IT"/>
          </w:rPr>
          <w:tab/>
        </w:r>
        <w:r w:rsidRPr="00A44500">
          <w:rPr>
            <w:rStyle w:val="Collegamentoipertestuale"/>
            <w:rFonts w:ascii="Titillium" w:hAnsi="Titillium"/>
            <w:noProof/>
          </w:rPr>
          <w:t>SUBAPPALTO</w:t>
        </w:r>
        <w:r>
          <w:rPr>
            <w:noProof/>
          </w:rPr>
          <w:tab/>
        </w:r>
        <w:r>
          <w:rPr>
            <w:noProof/>
          </w:rPr>
          <w:fldChar w:fldCharType="begin"/>
        </w:r>
        <w:r>
          <w:rPr>
            <w:noProof/>
          </w:rPr>
          <w:instrText xml:space="preserve"> PAGEREF _Toc139549430 \h </w:instrText>
        </w:r>
        <w:r>
          <w:rPr>
            <w:noProof/>
          </w:rPr>
        </w:r>
        <w:r>
          <w:rPr>
            <w:noProof/>
          </w:rPr>
          <w:fldChar w:fldCharType="separate"/>
        </w:r>
        <w:r>
          <w:rPr>
            <w:noProof/>
          </w:rPr>
          <w:t>21</w:t>
        </w:r>
        <w:r>
          <w:rPr>
            <w:noProof/>
          </w:rPr>
          <w:fldChar w:fldCharType="end"/>
        </w:r>
      </w:hyperlink>
    </w:p>
    <w:p w14:paraId="6BB3E0CA"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31" w:history="1">
        <w:r w:rsidRPr="00A44500">
          <w:rPr>
            <w:rStyle w:val="Collegamentoipertestuale"/>
            <w:rFonts w:ascii="Titillium" w:hAnsi="Titillium" w:cs="Calibri"/>
            <w:noProof/>
          </w:rPr>
          <w:t>9.</w:t>
        </w:r>
        <w:r w:rsidRPr="00276DF7">
          <w:rPr>
            <w:rFonts w:ascii="Calibri" w:hAnsi="Calibri"/>
            <w:smallCaps w:val="0"/>
            <w:noProof/>
            <w:sz w:val="22"/>
            <w:szCs w:val="22"/>
            <w:lang w:eastAsia="it-IT"/>
          </w:rPr>
          <w:tab/>
        </w:r>
        <w:r w:rsidRPr="00A44500">
          <w:rPr>
            <w:rStyle w:val="Collegamentoipertestuale"/>
            <w:rFonts w:ascii="Titillium" w:hAnsi="Titillium"/>
            <w:noProof/>
          </w:rPr>
          <w:t>REQUISITI DI PARTECIPAZIONE E/O CONDIZIONI DI ESECUZIONE</w:t>
        </w:r>
        <w:r>
          <w:rPr>
            <w:noProof/>
          </w:rPr>
          <w:tab/>
        </w:r>
        <w:r>
          <w:rPr>
            <w:noProof/>
          </w:rPr>
          <w:fldChar w:fldCharType="begin"/>
        </w:r>
        <w:r>
          <w:rPr>
            <w:noProof/>
          </w:rPr>
          <w:instrText xml:space="preserve"> PAGEREF _Toc139549431 \h </w:instrText>
        </w:r>
        <w:r>
          <w:rPr>
            <w:noProof/>
          </w:rPr>
        </w:r>
        <w:r>
          <w:rPr>
            <w:noProof/>
          </w:rPr>
          <w:fldChar w:fldCharType="separate"/>
        </w:r>
        <w:r>
          <w:rPr>
            <w:noProof/>
          </w:rPr>
          <w:t>21</w:t>
        </w:r>
        <w:r>
          <w:rPr>
            <w:noProof/>
          </w:rPr>
          <w:fldChar w:fldCharType="end"/>
        </w:r>
      </w:hyperlink>
    </w:p>
    <w:p w14:paraId="6EC3939A"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32" w:history="1">
        <w:r w:rsidRPr="00A44500">
          <w:rPr>
            <w:rStyle w:val="Collegamentoipertestuale"/>
            <w:rFonts w:ascii="Titillium" w:hAnsi="Titillium"/>
            <w:noProof/>
          </w:rPr>
          <w:t>10.</w:t>
        </w:r>
        <w:r w:rsidRPr="00276DF7">
          <w:rPr>
            <w:rFonts w:ascii="Calibri" w:hAnsi="Calibri"/>
            <w:smallCaps w:val="0"/>
            <w:noProof/>
            <w:sz w:val="22"/>
            <w:szCs w:val="22"/>
            <w:lang w:eastAsia="it-IT"/>
          </w:rPr>
          <w:tab/>
        </w:r>
        <w:r w:rsidRPr="00A44500">
          <w:rPr>
            <w:rStyle w:val="Collegamentoipertestuale"/>
            <w:rFonts w:ascii="Titillium" w:hAnsi="Titillium" w:cs="Calibri"/>
            <w:noProof/>
          </w:rPr>
          <w:t>GARANZIA PROVVISOR</w:t>
        </w:r>
        <w:r w:rsidRPr="00A44500">
          <w:rPr>
            <w:rStyle w:val="Collegamentoipertestuale"/>
            <w:rFonts w:ascii="Titillium" w:hAnsi="Titillium"/>
            <w:noProof/>
          </w:rPr>
          <w:t>IA</w:t>
        </w:r>
        <w:r>
          <w:rPr>
            <w:noProof/>
          </w:rPr>
          <w:tab/>
        </w:r>
        <w:r>
          <w:rPr>
            <w:noProof/>
          </w:rPr>
          <w:fldChar w:fldCharType="begin"/>
        </w:r>
        <w:r>
          <w:rPr>
            <w:noProof/>
          </w:rPr>
          <w:instrText xml:space="preserve"> PAGEREF _Toc139549432 \h </w:instrText>
        </w:r>
        <w:r>
          <w:rPr>
            <w:noProof/>
          </w:rPr>
        </w:r>
        <w:r>
          <w:rPr>
            <w:noProof/>
          </w:rPr>
          <w:fldChar w:fldCharType="separate"/>
        </w:r>
        <w:r>
          <w:rPr>
            <w:noProof/>
          </w:rPr>
          <w:t>23</w:t>
        </w:r>
        <w:r>
          <w:rPr>
            <w:noProof/>
          </w:rPr>
          <w:fldChar w:fldCharType="end"/>
        </w:r>
      </w:hyperlink>
    </w:p>
    <w:p w14:paraId="60025C47"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33" w:history="1">
        <w:r w:rsidRPr="00A44500">
          <w:rPr>
            <w:rStyle w:val="Collegamentoipertestuale"/>
            <w:rFonts w:ascii="Titillium" w:hAnsi="Titillium"/>
            <w:noProof/>
          </w:rPr>
          <w:t>11.</w:t>
        </w:r>
        <w:r w:rsidRPr="00276DF7">
          <w:rPr>
            <w:rFonts w:ascii="Calibri" w:hAnsi="Calibri"/>
            <w:smallCaps w:val="0"/>
            <w:noProof/>
            <w:sz w:val="22"/>
            <w:szCs w:val="22"/>
            <w:lang w:eastAsia="it-IT"/>
          </w:rPr>
          <w:tab/>
        </w:r>
        <w:r w:rsidRPr="00A44500">
          <w:rPr>
            <w:rStyle w:val="Collegamentoipertestuale"/>
            <w:rFonts w:ascii="Titillium" w:hAnsi="Titillium"/>
            <w:i/>
            <w:noProof/>
          </w:rPr>
          <w:t>[FACOLTATIVO]</w:t>
        </w:r>
        <w:r w:rsidRPr="00A44500">
          <w:rPr>
            <w:rStyle w:val="Collegamentoipertestuale"/>
            <w:rFonts w:ascii="Titillium" w:hAnsi="Titillium"/>
            <w:noProof/>
          </w:rPr>
          <w:t xml:space="preserve"> SOPRALLUOGO</w:t>
        </w:r>
        <w:r>
          <w:rPr>
            <w:noProof/>
          </w:rPr>
          <w:tab/>
        </w:r>
        <w:r>
          <w:rPr>
            <w:noProof/>
          </w:rPr>
          <w:fldChar w:fldCharType="begin"/>
        </w:r>
        <w:r>
          <w:rPr>
            <w:noProof/>
          </w:rPr>
          <w:instrText xml:space="preserve"> PAGEREF _Toc139549433 \h </w:instrText>
        </w:r>
        <w:r>
          <w:rPr>
            <w:noProof/>
          </w:rPr>
        </w:r>
        <w:r>
          <w:rPr>
            <w:noProof/>
          </w:rPr>
          <w:fldChar w:fldCharType="separate"/>
        </w:r>
        <w:r>
          <w:rPr>
            <w:noProof/>
          </w:rPr>
          <w:t>25</w:t>
        </w:r>
        <w:r>
          <w:rPr>
            <w:noProof/>
          </w:rPr>
          <w:fldChar w:fldCharType="end"/>
        </w:r>
      </w:hyperlink>
    </w:p>
    <w:p w14:paraId="559AE7D5"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34" w:history="1">
        <w:r w:rsidRPr="00A44500">
          <w:rPr>
            <w:rStyle w:val="Collegamentoipertestuale"/>
            <w:rFonts w:ascii="Titillium" w:hAnsi="Titillium"/>
            <w:noProof/>
          </w:rPr>
          <w:t>12.</w:t>
        </w:r>
        <w:r w:rsidRPr="00276DF7">
          <w:rPr>
            <w:rFonts w:ascii="Calibri" w:hAnsi="Calibri"/>
            <w:smallCaps w:val="0"/>
            <w:noProof/>
            <w:sz w:val="22"/>
            <w:szCs w:val="22"/>
            <w:lang w:eastAsia="it-IT"/>
          </w:rPr>
          <w:tab/>
        </w:r>
        <w:r w:rsidRPr="00A44500">
          <w:rPr>
            <w:rStyle w:val="Collegamentoipertestuale"/>
            <w:rFonts w:ascii="Titillium" w:hAnsi="Titillium"/>
            <w:noProof/>
          </w:rPr>
          <w:t>PAGAMENTO DEL CONTRIBUTO A FAVORE DELL’</w:t>
        </w:r>
        <w:r w:rsidRPr="00A44500">
          <w:rPr>
            <w:rStyle w:val="Collegamentoipertestuale"/>
            <w:rFonts w:ascii="Titillium" w:hAnsi="Titillium" w:cs="Calibri"/>
            <w:noProof/>
          </w:rPr>
          <w:t>ANAC</w:t>
        </w:r>
        <w:r>
          <w:rPr>
            <w:noProof/>
          </w:rPr>
          <w:tab/>
        </w:r>
        <w:r>
          <w:rPr>
            <w:noProof/>
          </w:rPr>
          <w:fldChar w:fldCharType="begin"/>
        </w:r>
        <w:r>
          <w:rPr>
            <w:noProof/>
          </w:rPr>
          <w:instrText xml:space="preserve"> PAGEREF _Toc139549434 \h </w:instrText>
        </w:r>
        <w:r>
          <w:rPr>
            <w:noProof/>
          </w:rPr>
        </w:r>
        <w:r>
          <w:rPr>
            <w:noProof/>
          </w:rPr>
          <w:fldChar w:fldCharType="separate"/>
        </w:r>
        <w:r>
          <w:rPr>
            <w:noProof/>
          </w:rPr>
          <w:t>26</w:t>
        </w:r>
        <w:r>
          <w:rPr>
            <w:noProof/>
          </w:rPr>
          <w:fldChar w:fldCharType="end"/>
        </w:r>
      </w:hyperlink>
    </w:p>
    <w:p w14:paraId="32BCC0A1"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35" w:history="1">
        <w:r w:rsidRPr="00A44500">
          <w:rPr>
            <w:rStyle w:val="Collegamentoipertestuale"/>
            <w:rFonts w:ascii="Titillium" w:hAnsi="Titillium"/>
            <w:noProof/>
          </w:rPr>
          <w:t>13.</w:t>
        </w:r>
        <w:r w:rsidRPr="00276DF7">
          <w:rPr>
            <w:rFonts w:ascii="Calibri" w:hAnsi="Calibri"/>
            <w:smallCaps w:val="0"/>
            <w:noProof/>
            <w:sz w:val="22"/>
            <w:szCs w:val="22"/>
            <w:lang w:eastAsia="it-IT"/>
          </w:rPr>
          <w:tab/>
        </w:r>
        <w:r w:rsidRPr="00A44500">
          <w:rPr>
            <w:rStyle w:val="Collegamentoipertestuale"/>
            <w:rFonts w:ascii="Titillium" w:hAnsi="Titillium"/>
            <w:noProof/>
          </w:rPr>
          <w:t>MODALITÀ DI PRESENTAZIONE DELL’OFFERTA E SOTTOSCRIZIONE DEI DOCUMENTI DI GARA</w:t>
        </w:r>
        <w:r>
          <w:rPr>
            <w:noProof/>
          </w:rPr>
          <w:tab/>
        </w:r>
        <w:r>
          <w:rPr>
            <w:noProof/>
          </w:rPr>
          <w:fldChar w:fldCharType="begin"/>
        </w:r>
        <w:r>
          <w:rPr>
            <w:noProof/>
          </w:rPr>
          <w:instrText xml:space="preserve"> PAGEREF _Toc139549435 \h </w:instrText>
        </w:r>
        <w:r>
          <w:rPr>
            <w:noProof/>
          </w:rPr>
        </w:r>
        <w:r>
          <w:rPr>
            <w:noProof/>
          </w:rPr>
          <w:fldChar w:fldCharType="separate"/>
        </w:r>
        <w:r>
          <w:rPr>
            <w:noProof/>
          </w:rPr>
          <w:t>27</w:t>
        </w:r>
        <w:r>
          <w:rPr>
            <w:noProof/>
          </w:rPr>
          <w:fldChar w:fldCharType="end"/>
        </w:r>
      </w:hyperlink>
    </w:p>
    <w:p w14:paraId="0E36A9B2"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36" w:history="1">
        <w:r w:rsidRPr="00A44500">
          <w:rPr>
            <w:rStyle w:val="Collegamentoipertestuale"/>
            <w:rFonts w:ascii="Titillium" w:hAnsi="Titillium"/>
            <w:noProof/>
          </w:rPr>
          <w:t>14.</w:t>
        </w:r>
        <w:r w:rsidRPr="00276DF7">
          <w:rPr>
            <w:rFonts w:ascii="Calibri" w:hAnsi="Calibri"/>
            <w:smallCaps w:val="0"/>
            <w:noProof/>
            <w:sz w:val="22"/>
            <w:szCs w:val="22"/>
            <w:lang w:eastAsia="it-IT"/>
          </w:rPr>
          <w:tab/>
        </w:r>
        <w:r w:rsidRPr="00A44500">
          <w:rPr>
            <w:rStyle w:val="Collegamentoipertestuale"/>
            <w:rFonts w:ascii="Titillium" w:hAnsi="Titillium"/>
            <w:noProof/>
          </w:rPr>
          <w:t>SOCCORSO ISTRUTTORIO</w:t>
        </w:r>
        <w:r>
          <w:rPr>
            <w:noProof/>
          </w:rPr>
          <w:tab/>
        </w:r>
        <w:r>
          <w:rPr>
            <w:noProof/>
          </w:rPr>
          <w:fldChar w:fldCharType="begin"/>
        </w:r>
        <w:r>
          <w:rPr>
            <w:noProof/>
          </w:rPr>
          <w:instrText xml:space="preserve"> PAGEREF _Toc139549436 \h </w:instrText>
        </w:r>
        <w:r>
          <w:rPr>
            <w:noProof/>
          </w:rPr>
        </w:r>
        <w:r>
          <w:rPr>
            <w:noProof/>
          </w:rPr>
          <w:fldChar w:fldCharType="separate"/>
        </w:r>
        <w:r>
          <w:rPr>
            <w:noProof/>
          </w:rPr>
          <w:t>28</w:t>
        </w:r>
        <w:r>
          <w:rPr>
            <w:noProof/>
          </w:rPr>
          <w:fldChar w:fldCharType="end"/>
        </w:r>
      </w:hyperlink>
    </w:p>
    <w:p w14:paraId="6218D6E5"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37" w:history="1">
        <w:r w:rsidRPr="00A44500">
          <w:rPr>
            <w:rStyle w:val="Collegamentoipertestuale"/>
            <w:rFonts w:ascii="Titillium" w:hAnsi="Titillium"/>
            <w:noProof/>
          </w:rPr>
          <w:t>15.</w:t>
        </w:r>
        <w:r w:rsidRPr="00276DF7">
          <w:rPr>
            <w:rFonts w:ascii="Calibri" w:hAnsi="Calibri"/>
            <w:smallCaps w:val="0"/>
            <w:noProof/>
            <w:sz w:val="22"/>
            <w:szCs w:val="22"/>
            <w:lang w:eastAsia="it-IT"/>
          </w:rPr>
          <w:tab/>
        </w:r>
        <w:r w:rsidRPr="00A44500">
          <w:rPr>
            <w:rStyle w:val="Collegamentoipertestuale"/>
            <w:rFonts w:ascii="Titillium" w:hAnsi="Titillium"/>
            <w:noProof/>
          </w:rPr>
          <w:t>DOMANDA DI PARTECIPAZIONE E DOCUMENTAZIONE AMMINISTRATIVA</w:t>
        </w:r>
        <w:r>
          <w:rPr>
            <w:noProof/>
          </w:rPr>
          <w:tab/>
        </w:r>
        <w:r>
          <w:rPr>
            <w:noProof/>
          </w:rPr>
          <w:fldChar w:fldCharType="begin"/>
        </w:r>
        <w:r>
          <w:rPr>
            <w:noProof/>
          </w:rPr>
          <w:instrText xml:space="preserve"> PAGEREF _Toc139549437 \h </w:instrText>
        </w:r>
        <w:r>
          <w:rPr>
            <w:noProof/>
          </w:rPr>
        </w:r>
        <w:r>
          <w:rPr>
            <w:noProof/>
          </w:rPr>
          <w:fldChar w:fldCharType="separate"/>
        </w:r>
        <w:r>
          <w:rPr>
            <w:noProof/>
          </w:rPr>
          <w:t>29</w:t>
        </w:r>
        <w:r>
          <w:rPr>
            <w:noProof/>
          </w:rPr>
          <w:fldChar w:fldCharType="end"/>
        </w:r>
      </w:hyperlink>
    </w:p>
    <w:p w14:paraId="6DF90919"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38" w:history="1">
        <w:r w:rsidRPr="00A44500">
          <w:rPr>
            <w:rStyle w:val="Collegamentoipertestuale"/>
            <w:rFonts w:ascii="Titillium" w:hAnsi="Titillium"/>
            <w:noProof/>
          </w:rPr>
          <w:t>15.1.</w:t>
        </w:r>
        <w:r w:rsidRPr="00276DF7">
          <w:rPr>
            <w:rFonts w:ascii="Calibri" w:hAnsi="Calibri"/>
            <w:iCs w:val="0"/>
            <w:noProof/>
            <w:sz w:val="22"/>
            <w:szCs w:val="22"/>
            <w:lang w:eastAsia="it-IT"/>
          </w:rPr>
          <w:tab/>
        </w:r>
        <w:r w:rsidRPr="00A44500">
          <w:rPr>
            <w:rStyle w:val="Collegamentoipertestuale"/>
            <w:rFonts w:ascii="Titillium" w:hAnsi="Titillium"/>
            <w:noProof/>
          </w:rPr>
          <w:t>DOMANDA DI PARTECIPAZIONE ED EVENTUALE PROCURA</w:t>
        </w:r>
        <w:r>
          <w:rPr>
            <w:noProof/>
          </w:rPr>
          <w:tab/>
        </w:r>
        <w:r>
          <w:rPr>
            <w:noProof/>
          </w:rPr>
          <w:fldChar w:fldCharType="begin"/>
        </w:r>
        <w:r>
          <w:rPr>
            <w:noProof/>
          </w:rPr>
          <w:instrText xml:space="preserve"> PAGEREF _Toc139549438 \h </w:instrText>
        </w:r>
        <w:r>
          <w:rPr>
            <w:noProof/>
          </w:rPr>
        </w:r>
        <w:r>
          <w:rPr>
            <w:noProof/>
          </w:rPr>
          <w:fldChar w:fldCharType="separate"/>
        </w:r>
        <w:r>
          <w:rPr>
            <w:noProof/>
          </w:rPr>
          <w:t>30</w:t>
        </w:r>
        <w:r>
          <w:rPr>
            <w:noProof/>
          </w:rPr>
          <w:fldChar w:fldCharType="end"/>
        </w:r>
      </w:hyperlink>
    </w:p>
    <w:p w14:paraId="05DEF23B"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39" w:history="1">
        <w:r w:rsidRPr="00A44500">
          <w:rPr>
            <w:rStyle w:val="Collegamentoipertestuale"/>
            <w:rFonts w:ascii="Titillium" w:hAnsi="Titillium"/>
            <w:noProof/>
          </w:rPr>
          <w:t>15.2.</w:t>
        </w:r>
        <w:r w:rsidRPr="00276DF7">
          <w:rPr>
            <w:rFonts w:ascii="Calibri" w:hAnsi="Calibri"/>
            <w:iCs w:val="0"/>
            <w:noProof/>
            <w:sz w:val="22"/>
            <w:szCs w:val="22"/>
            <w:lang w:eastAsia="it-IT"/>
          </w:rPr>
          <w:tab/>
        </w:r>
        <w:r w:rsidRPr="00A44500">
          <w:rPr>
            <w:rStyle w:val="Collegamentoipertestuale"/>
            <w:rFonts w:ascii="Titillium" w:hAnsi="Titillium"/>
            <w:noProof/>
          </w:rPr>
          <w:t>DICHIARAZIONI DA RENDERE A CURA DEGLI  OPERATORI ECONOMICI AMMESSI AL CONCORDATO PREVENTIVO CON CONTINUITÀ AZIENDALE DI CUI ALL’ARTICOLO 372 del DECRETO LEGISLATIVO 12 GENNAIO 2019 , n. 14</w:t>
        </w:r>
        <w:r>
          <w:rPr>
            <w:noProof/>
          </w:rPr>
          <w:tab/>
        </w:r>
        <w:r>
          <w:rPr>
            <w:noProof/>
          </w:rPr>
          <w:fldChar w:fldCharType="begin"/>
        </w:r>
        <w:r>
          <w:rPr>
            <w:noProof/>
          </w:rPr>
          <w:instrText xml:space="preserve"> PAGEREF _Toc139549439 \h </w:instrText>
        </w:r>
        <w:r>
          <w:rPr>
            <w:noProof/>
          </w:rPr>
        </w:r>
        <w:r>
          <w:rPr>
            <w:noProof/>
          </w:rPr>
          <w:fldChar w:fldCharType="separate"/>
        </w:r>
        <w:r>
          <w:rPr>
            <w:noProof/>
          </w:rPr>
          <w:t>33</w:t>
        </w:r>
        <w:r>
          <w:rPr>
            <w:noProof/>
          </w:rPr>
          <w:fldChar w:fldCharType="end"/>
        </w:r>
      </w:hyperlink>
    </w:p>
    <w:p w14:paraId="54FF7582"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40" w:history="1">
        <w:r w:rsidRPr="00A44500">
          <w:rPr>
            <w:rStyle w:val="Collegamentoipertestuale"/>
            <w:rFonts w:ascii="Titillium" w:hAnsi="Titillium"/>
            <w:noProof/>
          </w:rPr>
          <w:t>15.3.</w:t>
        </w:r>
        <w:r w:rsidRPr="00276DF7">
          <w:rPr>
            <w:rFonts w:ascii="Calibri" w:hAnsi="Calibri"/>
            <w:iCs w:val="0"/>
            <w:noProof/>
            <w:sz w:val="22"/>
            <w:szCs w:val="22"/>
            <w:lang w:eastAsia="it-IT"/>
          </w:rPr>
          <w:tab/>
        </w:r>
        <w:r w:rsidRPr="00A44500">
          <w:rPr>
            <w:rStyle w:val="Collegamentoipertestuale"/>
            <w:rFonts w:ascii="Titillium" w:hAnsi="Titillium"/>
            <w:noProof/>
          </w:rPr>
          <w:t>DOCUMENTAZIONE IN CASO DI AVVALIMENTO</w:t>
        </w:r>
        <w:r>
          <w:rPr>
            <w:noProof/>
          </w:rPr>
          <w:tab/>
        </w:r>
        <w:r>
          <w:rPr>
            <w:noProof/>
          </w:rPr>
          <w:fldChar w:fldCharType="begin"/>
        </w:r>
        <w:r>
          <w:rPr>
            <w:noProof/>
          </w:rPr>
          <w:instrText xml:space="preserve"> PAGEREF _Toc139549440 \h </w:instrText>
        </w:r>
        <w:r>
          <w:rPr>
            <w:noProof/>
          </w:rPr>
        </w:r>
        <w:r>
          <w:rPr>
            <w:noProof/>
          </w:rPr>
          <w:fldChar w:fldCharType="separate"/>
        </w:r>
        <w:r>
          <w:rPr>
            <w:noProof/>
          </w:rPr>
          <w:t>33</w:t>
        </w:r>
        <w:r>
          <w:rPr>
            <w:noProof/>
          </w:rPr>
          <w:fldChar w:fldCharType="end"/>
        </w:r>
      </w:hyperlink>
    </w:p>
    <w:p w14:paraId="674BDF48"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41" w:history="1">
        <w:r w:rsidRPr="00A44500">
          <w:rPr>
            <w:rStyle w:val="Collegamentoipertestuale"/>
            <w:rFonts w:ascii="Titillium" w:hAnsi="Titillium"/>
            <w:noProof/>
          </w:rPr>
          <w:t>15.4.</w:t>
        </w:r>
        <w:r w:rsidRPr="00276DF7">
          <w:rPr>
            <w:rFonts w:ascii="Calibri" w:hAnsi="Calibri"/>
            <w:iCs w:val="0"/>
            <w:noProof/>
            <w:sz w:val="22"/>
            <w:szCs w:val="22"/>
            <w:lang w:eastAsia="it-IT"/>
          </w:rPr>
          <w:tab/>
        </w:r>
        <w:r w:rsidRPr="00A44500">
          <w:rPr>
            <w:rStyle w:val="Collegamentoipertestuale"/>
            <w:rFonts w:ascii="Titillium" w:hAnsi="Titillium"/>
            <w:noProof/>
          </w:rPr>
          <w:t>DOCUMENTAZIONE ULTERIORE PER I SOGGETTI ASSOCIATI</w:t>
        </w:r>
        <w:r>
          <w:rPr>
            <w:noProof/>
          </w:rPr>
          <w:tab/>
        </w:r>
        <w:r>
          <w:rPr>
            <w:noProof/>
          </w:rPr>
          <w:fldChar w:fldCharType="begin"/>
        </w:r>
        <w:r>
          <w:rPr>
            <w:noProof/>
          </w:rPr>
          <w:instrText xml:space="preserve"> PAGEREF _Toc139549441 \h </w:instrText>
        </w:r>
        <w:r>
          <w:rPr>
            <w:noProof/>
          </w:rPr>
        </w:r>
        <w:r>
          <w:rPr>
            <w:noProof/>
          </w:rPr>
          <w:fldChar w:fldCharType="separate"/>
        </w:r>
        <w:r>
          <w:rPr>
            <w:noProof/>
          </w:rPr>
          <w:t>33</w:t>
        </w:r>
        <w:r>
          <w:rPr>
            <w:noProof/>
          </w:rPr>
          <w:fldChar w:fldCharType="end"/>
        </w:r>
      </w:hyperlink>
    </w:p>
    <w:p w14:paraId="64C1ABF0"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42" w:history="1">
        <w:r w:rsidRPr="00A44500">
          <w:rPr>
            <w:rStyle w:val="Collegamentoipertestuale"/>
            <w:rFonts w:ascii="Titillium" w:hAnsi="Titillium"/>
            <w:noProof/>
          </w:rPr>
          <w:t>16.</w:t>
        </w:r>
        <w:r w:rsidRPr="00276DF7">
          <w:rPr>
            <w:rFonts w:ascii="Calibri" w:hAnsi="Calibri"/>
            <w:smallCaps w:val="0"/>
            <w:noProof/>
            <w:sz w:val="22"/>
            <w:szCs w:val="22"/>
            <w:lang w:eastAsia="it-IT"/>
          </w:rPr>
          <w:tab/>
        </w:r>
        <w:r w:rsidRPr="00A44500">
          <w:rPr>
            <w:rStyle w:val="Collegamentoipertestuale"/>
            <w:rFonts w:ascii="Titillium" w:hAnsi="Titillium"/>
            <w:noProof/>
          </w:rPr>
          <w:t>OFFERTA TECNICA</w:t>
        </w:r>
        <w:r>
          <w:rPr>
            <w:noProof/>
          </w:rPr>
          <w:tab/>
        </w:r>
        <w:r>
          <w:rPr>
            <w:noProof/>
          </w:rPr>
          <w:fldChar w:fldCharType="begin"/>
        </w:r>
        <w:r>
          <w:rPr>
            <w:noProof/>
          </w:rPr>
          <w:instrText xml:space="preserve"> PAGEREF _Toc139549442 \h </w:instrText>
        </w:r>
        <w:r>
          <w:rPr>
            <w:noProof/>
          </w:rPr>
        </w:r>
        <w:r>
          <w:rPr>
            <w:noProof/>
          </w:rPr>
          <w:fldChar w:fldCharType="separate"/>
        </w:r>
        <w:r>
          <w:rPr>
            <w:noProof/>
          </w:rPr>
          <w:t>34</w:t>
        </w:r>
        <w:r>
          <w:rPr>
            <w:noProof/>
          </w:rPr>
          <w:fldChar w:fldCharType="end"/>
        </w:r>
      </w:hyperlink>
    </w:p>
    <w:p w14:paraId="74EE0DC5"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43" w:history="1">
        <w:r w:rsidRPr="00A44500">
          <w:rPr>
            <w:rStyle w:val="Collegamentoipertestuale"/>
            <w:rFonts w:ascii="Titillium" w:hAnsi="Titillium"/>
            <w:noProof/>
          </w:rPr>
          <w:t>17.</w:t>
        </w:r>
        <w:r w:rsidRPr="00276DF7">
          <w:rPr>
            <w:rFonts w:ascii="Calibri" w:hAnsi="Calibri"/>
            <w:smallCaps w:val="0"/>
            <w:noProof/>
            <w:sz w:val="22"/>
            <w:szCs w:val="22"/>
            <w:lang w:eastAsia="it-IT"/>
          </w:rPr>
          <w:tab/>
        </w:r>
        <w:r w:rsidRPr="00A44500">
          <w:rPr>
            <w:rStyle w:val="Collegamentoipertestuale"/>
            <w:rFonts w:ascii="Titillium" w:hAnsi="Titillium"/>
            <w:noProof/>
          </w:rPr>
          <w:t>OFFERTA ECONOMICA</w:t>
        </w:r>
        <w:r>
          <w:rPr>
            <w:noProof/>
          </w:rPr>
          <w:tab/>
        </w:r>
        <w:r>
          <w:rPr>
            <w:noProof/>
          </w:rPr>
          <w:fldChar w:fldCharType="begin"/>
        </w:r>
        <w:r>
          <w:rPr>
            <w:noProof/>
          </w:rPr>
          <w:instrText xml:space="preserve"> PAGEREF _Toc139549443 \h </w:instrText>
        </w:r>
        <w:r>
          <w:rPr>
            <w:noProof/>
          </w:rPr>
        </w:r>
        <w:r>
          <w:rPr>
            <w:noProof/>
          </w:rPr>
          <w:fldChar w:fldCharType="separate"/>
        </w:r>
        <w:r>
          <w:rPr>
            <w:noProof/>
          </w:rPr>
          <w:t>36</w:t>
        </w:r>
        <w:r>
          <w:rPr>
            <w:noProof/>
          </w:rPr>
          <w:fldChar w:fldCharType="end"/>
        </w:r>
      </w:hyperlink>
    </w:p>
    <w:p w14:paraId="6B933ADF"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44" w:history="1">
        <w:r w:rsidRPr="00A44500">
          <w:rPr>
            <w:rStyle w:val="Collegamentoipertestuale"/>
            <w:rFonts w:ascii="Titillium" w:hAnsi="Titillium"/>
            <w:noProof/>
          </w:rPr>
          <w:t>18.</w:t>
        </w:r>
        <w:r w:rsidRPr="00276DF7">
          <w:rPr>
            <w:rFonts w:ascii="Calibri" w:hAnsi="Calibri"/>
            <w:smallCaps w:val="0"/>
            <w:noProof/>
            <w:sz w:val="22"/>
            <w:szCs w:val="22"/>
            <w:lang w:eastAsia="it-IT"/>
          </w:rPr>
          <w:tab/>
        </w:r>
        <w:r w:rsidRPr="00A44500">
          <w:rPr>
            <w:rStyle w:val="Collegamentoipertestuale"/>
            <w:rFonts w:ascii="Titillium" w:hAnsi="Titillium"/>
            <w:noProof/>
          </w:rPr>
          <w:t>CRITERIO DI AGGIUDICAZIONE</w:t>
        </w:r>
        <w:r>
          <w:rPr>
            <w:noProof/>
          </w:rPr>
          <w:tab/>
        </w:r>
        <w:r>
          <w:rPr>
            <w:noProof/>
          </w:rPr>
          <w:fldChar w:fldCharType="begin"/>
        </w:r>
        <w:r>
          <w:rPr>
            <w:noProof/>
          </w:rPr>
          <w:instrText xml:space="preserve"> PAGEREF _Toc139549444 \h </w:instrText>
        </w:r>
        <w:r>
          <w:rPr>
            <w:noProof/>
          </w:rPr>
        </w:r>
        <w:r>
          <w:rPr>
            <w:noProof/>
          </w:rPr>
          <w:fldChar w:fldCharType="separate"/>
        </w:r>
        <w:r>
          <w:rPr>
            <w:noProof/>
          </w:rPr>
          <w:t>36</w:t>
        </w:r>
        <w:r>
          <w:rPr>
            <w:noProof/>
          </w:rPr>
          <w:fldChar w:fldCharType="end"/>
        </w:r>
      </w:hyperlink>
    </w:p>
    <w:p w14:paraId="0A46640B"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45" w:history="1">
        <w:r w:rsidRPr="00A44500">
          <w:rPr>
            <w:rStyle w:val="Collegamentoipertestuale"/>
            <w:rFonts w:ascii="Titillium" w:hAnsi="Titillium"/>
            <w:noProof/>
          </w:rPr>
          <w:t>18.1.</w:t>
        </w:r>
        <w:r w:rsidRPr="00276DF7">
          <w:rPr>
            <w:rFonts w:ascii="Calibri" w:hAnsi="Calibri"/>
            <w:iCs w:val="0"/>
            <w:noProof/>
            <w:sz w:val="22"/>
            <w:szCs w:val="22"/>
            <w:lang w:eastAsia="it-IT"/>
          </w:rPr>
          <w:tab/>
        </w:r>
        <w:r w:rsidRPr="00A44500">
          <w:rPr>
            <w:rStyle w:val="Collegamentoipertestuale"/>
            <w:rFonts w:ascii="Titillium" w:hAnsi="Titillium"/>
            <w:noProof/>
          </w:rPr>
          <w:t>CRITERI DI VALUTAZIONE DELL’OFFERTA TECNICA</w:t>
        </w:r>
        <w:r>
          <w:rPr>
            <w:noProof/>
          </w:rPr>
          <w:tab/>
        </w:r>
        <w:r>
          <w:rPr>
            <w:noProof/>
          </w:rPr>
          <w:fldChar w:fldCharType="begin"/>
        </w:r>
        <w:r>
          <w:rPr>
            <w:noProof/>
          </w:rPr>
          <w:instrText xml:space="preserve"> PAGEREF _Toc139549445 \h </w:instrText>
        </w:r>
        <w:r>
          <w:rPr>
            <w:noProof/>
          </w:rPr>
        </w:r>
        <w:r>
          <w:rPr>
            <w:noProof/>
          </w:rPr>
          <w:fldChar w:fldCharType="separate"/>
        </w:r>
        <w:r>
          <w:rPr>
            <w:noProof/>
          </w:rPr>
          <w:t>37</w:t>
        </w:r>
        <w:r>
          <w:rPr>
            <w:noProof/>
          </w:rPr>
          <w:fldChar w:fldCharType="end"/>
        </w:r>
      </w:hyperlink>
    </w:p>
    <w:p w14:paraId="4978A42E"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46" w:history="1">
        <w:r w:rsidRPr="00A44500">
          <w:rPr>
            <w:rStyle w:val="Collegamentoipertestuale"/>
            <w:rFonts w:ascii="Titillium" w:hAnsi="Titillium"/>
            <w:noProof/>
          </w:rPr>
          <w:t>18.2.</w:t>
        </w:r>
        <w:r w:rsidRPr="00276DF7">
          <w:rPr>
            <w:rFonts w:ascii="Calibri" w:hAnsi="Calibri"/>
            <w:iCs w:val="0"/>
            <w:noProof/>
            <w:sz w:val="22"/>
            <w:szCs w:val="22"/>
            <w:lang w:eastAsia="it-IT"/>
          </w:rPr>
          <w:tab/>
        </w:r>
        <w:r w:rsidRPr="00A44500">
          <w:rPr>
            <w:rStyle w:val="Collegamentoipertestuale"/>
            <w:rFonts w:ascii="Titillium" w:hAnsi="Titillium"/>
            <w:noProof/>
          </w:rPr>
          <w:t>METODO DI ATTRIBUZIONE DEL COEFFICIENTE PER IL CALCOLO DEL PUNTEGGIO DELL’OFFERTA TECNICA</w:t>
        </w:r>
        <w:r>
          <w:rPr>
            <w:noProof/>
          </w:rPr>
          <w:tab/>
        </w:r>
        <w:r>
          <w:rPr>
            <w:noProof/>
          </w:rPr>
          <w:fldChar w:fldCharType="begin"/>
        </w:r>
        <w:r>
          <w:rPr>
            <w:noProof/>
          </w:rPr>
          <w:instrText xml:space="preserve"> PAGEREF _Toc139549446 \h </w:instrText>
        </w:r>
        <w:r>
          <w:rPr>
            <w:noProof/>
          </w:rPr>
        </w:r>
        <w:r>
          <w:rPr>
            <w:noProof/>
          </w:rPr>
          <w:fldChar w:fldCharType="separate"/>
        </w:r>
        <w:r>
          <w:rPr>
            <w:noProof/>
          </w:rPr>
          <w:t>38</w:t>
        </w:r>
        <w:r>
          <w:rPr>
            <w:noProof/>
          </w:rPr>
          <w:fldChar w:fldCharType="end"/>
        </w:r>
      </w:hyperlink>
    </w:p>
    <w:p w14:paraId="343F5CAB"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47" w:history="1">
        <w:r w:rsidRPr="00A44500">
          <w:rPr>
            <w:rStyle w:val="Collegamentoipertestuale"/>
            <w:rFonts w:ascii="Titillium" w:hAnsi="Titillium"/>
            <w:noProof/>
          </w:rPr>
          <w:t>18.3.</w:t>
        </w:r>
        <w:r w:rsidRPr="00276DF7">
          <w:rPr>
            <w:rFonts w:ascii="Calibri" w:hAnsi="Calibri"/>
            <w:iCs w:val="0"/>
            <w:noProof/>
            <w:sz w:val="22"/>
            <w:szCs w:val="22"/>
            <w:lang w:eastAsia="it-IT"/>
          </w:rPr>
          <w:tab/>
        </w:r>
        <w:r w:rsidRPr="00A44500">
          <w:rPr>
            <w:rStyle w:val="Collegamentoipertestuale"/>
            <w:rFonts w:ascii="Titillium" w:hAnsi="Titillium"/>
            <w:noProof/>
          </w:rPr>
          <w:t>METODO DI ATTRIBUZIONE DEL COEFFICIENTE PER IL CALCOLO DEL PUNTEGGIO DELL’OFFERTA ECONOMICA</w:t>
        </w:r>
        <w:r>
          <w:rPr>
            <w:noProof/>
          </w:rPr>
          <w:tab/>
        </w:r>
        <w:r>
          <w:rPr>
            <w:noProof/>
          </w:rPr>
          <w:fldChar w:fldCharType="begin"/>
        </w:r>
        <w:r>
          <w:rPr>
            <w:noProof/>
          </w:rPr>
          <w:instrText xml:space="preserve"> PAGEREF _Toc139549447 \h </w:instrText>
        </w:r>
        <w:r>
          <w:rPr>
            <w:noProof/>
          </w:rPr>
        </w:r>
        <w:r>
          <w:rPr>
            <w:noProof/>
          </w:rPr>
          <w:fldChar w:fldCharType="separate"/>
        </w:r>
        <w:r>
          <w:rPr>
            <w:noProof/>
          </w:rPr>
          <w:t>38</w:t>
        </w:r>
        <w:r>
          <w:rPr>
            <w:noProof/>
          </w:rPr>
          <w:fldChar w:fldCharType="end"/>
        </w:r>
      </w:hyperlink>
    </w:p>
    <w:p w14:paraId="7DD2CB6F" w14:textId="77777777" w:rsidR="00276DF7" w:rsidRPr="00276DF7" w:rsidRDefault="00276DF7" w:rsidP="00276DF7">
      <w:pPr>
        <w:pStyle w:val="Sommario3"/>
        <w:shd w:val="clear" w:color="auto" w:fill="F2F2F2" w:themeFill="background1" w:themeFillShade="F2"/>
        <w:rPr>
          <w:rFonts w:ascii="Calibri" w:hAnsi="Calibri"/>
          <w:iCs w:val="0"/>
          <w:noProof/>
          <w:sz w:val="22"/>
          <w:szCs w:val="22"/>
          <w:lang w:eastAsia="it-IT"/>
        </w:rPr>
      </w:pPr>
      <w:hyperlink w:anchor="_Toc139549448" w:history="1">
        <w:r w:rsidRPr="00A44500">
          <w:rPr>
            <w:rStyle w:val="Collegamentoipertestuale"/>
            <w:rFonts w:ascii="Titillium" w:hAnsi="Titillium"/>
            <w:noProof/>
          </w:rPr>
          <w:t>18.4.</w:t>
        </w:r>
        <w:r w:rsidRPr="00276DF7">
          <w:rPr>
            <w:rFonts w:ascii="Calibri" w:hAnsi="Calibri"/>
            <w:iCs w:val="0"/>
            <w:noProof/>
            <w:sz w:val="22"/>
            <w:szCs w:val="22"/>
            <w:lang w:eastAsia="it-IT"/>
          </w:rPr>
          <w:tab/>
        </w:r>
        <w:r w:rsidRPr="00A44500">
          <w:rPr>
            <w:rStyle w:val="Collegamentoipertestuale"/>
            <w:rFonts w:ascii="Titillium" w:hAnsi="Titillium"/>
            <w:noProof/>
          </w:rPr>
          <w:t>METODO DI CALCOLO DEI PUNTEGGI</w:t>
        </w:r>
        <w:r>
          <w:rPr>
            <w:noProof/>
          </w:rPr>
          <w:tab/>
        </w:r>
        <w:r>
          <w:rPr>
            <w:noProof/>
          </w:rPr>
          <w:fldChar w:fldCharType="begin"/>
        </w:r>
        <w:r>
          <w:rPr>
            <w:noProof/>
          </w:rPr>
          <w:instrText xml:space="preserve"> PAGEREF _Toc139549448 \h </w:instrText>
        </w:r>
        <w:r>
          <w:rPr>
            <w:noProof/>
          </w:rPr>
        </w:r>
        <w:r>
          <w:rPr>
            <w:noProof/>
          </w:rPr>
          <w:fldChar w:fldCharType="separate"/>
        </w:r>
        <w:r>
          <w:rPr>
            <w:noProof/>
          </w:rPr>
          <w:t>39</w:t>
        </w:r>
        <w:r>
          <w:rPr>
            <w:noProof/>
          </w:rPr>
          <w:fldChar w:fldCharType="end"/>
        </w:r>
      </w:hyperlink>
    </w:p>
    <w:p w14:paraId="1AD34DD3"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49" w:history="1">
        <w:r w:rsidRPr="00A44500">
          <w:rPr>
            <w:rStyle w:val="Collegamentoipertestuale"/>
            <w:rFonts w:ascii="Titillium" w:hAnsi="Titillium"/>
            <w:noProof/>
          </w:rPr>
          <w:t>19.</w:t>
        </w:r>
        <w:r w:rsidRPr="00276DF7">
          <w:rPr>
            <w:rFonts w:ascii="Calibri" w:hAnsi="Calibri"/>
            <w:smallCaps w:val="0"/>
            <w:noProof/>
            <w:sz w:val="22"/>
            <w:szCs w:val="22"/>
            <w:lang w:eastAsia="it-IT"/>
          </w:rPr>
          <w:tab/>
        </w:r>
        <w:r w:rsidRPr="00A44500">
          <w:rPr>
            <w:rStyle w:val="Collegamentoipertestuale"/>
            <w:rFonts w:ascii="Titillium" w:hAnsi="Titillium"/>
            <w:noProof/>
          </w:rPr>
          <w:t>COMMISSIONE GIUDICATRICE</w:t>
        </w:r>
        <w:r>
          <w:rPr>
            <w:noProof/>
          </w:rPr>
          <w:tab/>
        </w:r>
        <w:r>
          <w:rPr>
            <w:noProof/>
          </w:rPr>
          <w:fldChar w:fldCharType="begin"/>
        </w:r>
        <w:r>
          <w:rPr>
            <w:noProof/>
          </w:rPr>
          <w:instrText xml:space="preserve"> PAGEREF _Toc139549449 \h </w:instrText>
        </w:r>
        <w:r>
          <w:rPr>
            <w:noProof/>
          </w:rPr>
        </w:r>
        <w:r>
          <w:rPr>
            <w:noProof/>
          </w:rPr>
          <w:fldChar w:fldCharType="separate"/>
        </w:r>
        <w:r>
          <w:rPr>
            <w:noProof/>
          </w:rPr>
          <w:t>40</w:t>
        </w:r>
        <w:r>
          <w:rPr>
            <w:noProof/>
          </w:rPr>
          <w:fldChar w:fldCharType="end"/>
        </w:r>
      </w:hyperlink>
    </w:p>
    <w:p w14:paraId="375D4BBA"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50" w:history="1">
        <w:r w:rsidRPr="00A44500">
          <w:rPr>
            <w:rStyle w:val="Collegamentoipertestuale"/>
            <w:rFonts w:ascii="Titillium" w:hAnsi="Titillium"/>
            <w:noProof/>
          </w:rPr>
          <w:t>20.</w:t>
        </w:r>
        <w:r w:rsidRPr="00276DF7">
          <w:rPr>
            <w:rFonts w:ascii="Calibri" w:hAnsi="Calibri"/>
            <w:smallCaps w:val="0"/>
            <w:noProof/>
            <w:sz w:val="22"/>
            <w:szCs w:val="22"/>
            <w:lang w:eastAsia="it-IT"/>
          </w:rPr>
          <w:tab/>
        </w:r>
        <w:r w:rsidRPr="00A44500">
          <w:rPr>
            <w:rStyle w:val="Collegamentoipertestuale"/>
            <w:rFonts w:ascii="Titillium" w:hAnsi="Titillium"/>
            <w:noProof/>
          </w:rPr>
          <w:t>SVOLGIMENTO DELLE OPERAZIONI DI GARA</w:t>
        </w:r>
        <w:r>
          <w:rPr>
            <w:noProof/>
          </w:rPr>
          <w:tab/>
        </w:r>
        <w:r>
          <w:rPr>
            <w:noProof/>
          </w:rPr>
          <w:fldChar w:fldCharType="begin"/>
        </w:r>
        <w:r>
          <w:rPr>
            <w:noProof/>
          </w:rPr>
          <w:instrText xml:space="preserve"> PAGEREF _Toc139549450 \h </w:instrText>
        </w:r>
        <w:r>
          <w:rPr>
            <w:noProof/>
          </w:rPr>
        </w:r>
        <w:r>
          <w:rPr>
            <w:noProof/>
          </w:rPr>
          <w:fldChar w:fldCharType="separate"/>
        </w:r>
        <w:r>
          <w:rPr>
            <w:noProof/>
          </w:rPr>
          <w:t>40</w:t>
        </w:r>
        <w:r>
          <w:rPr>
            <w:noProof/>
          </w:rPr>
          <w:fldChar w:fldCharType="end"/>
        </w:r>
      </w:hyperlink>
    </w:p>
    <w:p w14:paraId="112F01A1"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51" w:history="1">
        <w:r w:rsidRPr="00A44500">
          <w:rPr>
            <w:rStyle w:val="Collegamentoipertestuale"/>
            <w:rFonts w:ascii="Titillium" w:hAnsi="Titillium"/>
            <w:noProof/>
          </w:rPr>
          <w:t>21.</w:t>
        </w:r>
        <w:r w:rsidRPr="00276DF7">
          <w:rPr>
            <w:rFonts w:ascii="Calibri" w:hAnsi="Calibri"/>
            <w:smallCaps w:val="0"/>
            <w:noProof/>
            <w:sz w:val="22"/>
            <w:szCs w:val="22"/>
            <w:lang w:eastAsia="it-IT"/>
          </w:rPr>
          <w:tab/>
        </w:r>
        <w:r w:rsidRPr="00A44500">
          <w:rPr>
            <w:rStyle w:val="Collegamentoipertestuale"/>
            <w:rFonts w:ascii="Titillium" w:hAnsi="Titillium"/>
            <w:noProof/>
          </w:rPr>
          <w:t>VERIFICA DOCUMENTAZIONE AMMINISTRATIVA</w:t>
        </w:r>
        <w:r>
          <w:rPr>
            <w:noProof/>
          </w:rPr>
          <w:tab/>
        </w:r>
        <w:r>
          <w:rPr>
            <w:noProof/>
          </w:rPr>
          <w:fldChar w:fldCharType="begin"/>
        </w:r>
        <w:r>
          <w:rPr>
            <w:noProof/>
          </w:rPr>
          <w:instrText xml:space="preserve"> PAGEREF _Toc139549451 \h </w:instrText>
        </w:r>
        <w:r>
          <w:rPr>
            <w:noProof/>
          </w:rPr>
        </w:r>
        <w:r>
          <w:rPr>
            <w:noProof/>
          </w:rPr>
          <w:fldChar w:fldCharType="separate"/>
        </w:r>
        <w:r>
          <w:rPr>
            <w:noProof/>
          </w:rPr>
          <w:t>41</w:t>
        </w:r>
        <w:r>
          <w:rPr>
            <w:noProof/>
          </w:rPr>
          <w:fldChar w:fldCharType="end"/>
        </w:r>
      </w:hyperlink>
    </w:p>
    <w:p w14:paraId="535E35E9"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52" w:history="1">
        <w:r w:rsidRPr="00A44500">
          <w:rPr>
            <w:rStyle w:val="Collegamentoipertestuale"/>
            <w:rFonts w:ascii="Titillium" w:hAnsi="Titillium"/>
            <w:noProof/>
          </w:rPr>
          <w:t>22.</w:t>
        </w:r>
        <w:r w:rsidRPr="00276DF7">
          <w:rPr>
            <w:rFonts w:ascii="Calibri" w:hAnsi="Calibri"/>
            <w:smallCaps w:val="0"/>
            <w:noProof/>
            <w:sz w:val="22"/>
            <w:szCs w:val="22"/>
            <w:lang w:eastAsia="it-IT"/>
          </w:rPr>
          <w:tab/>
        </w:r>
        <w:r w:rsidRPr="00A44500">
          <w:rPr>
            <w:rStyle w:val="Collegamentoipertestuale"/>
            <w:rFonts w:ascii="Titillium" w:hAnsi="Titillium"/>
            <w:noProof/>
          </w:rPr>
          <w:t>VALUTAZIONE DELLE OFFERTE TECNICHE ED ECONOMICHE</w:t>
        </w:r>
        <w:r>
          <w:rPr>
            <w:noProof/>
          </w:rPr>
          <w:tab/>
        </w:r>
        <w:r>
          <w:rPr>
            <w:noProof/>
          </w:rPr>
          <w:fldChar w:fldCharType="begin"/>
        </w:r>
        <w:r>
          <w:rPr>
            <w:noProof/>
          </w:rPr>
          <w:instrText xml:space="preserve"> PAGEREF _Toc139549452 \h </w:instrText>
        </w:r>
        <w:r>
          <w:rPr>
            <w:noProof/>
          </w:rPr>
        </w:r>
        <w:r>
          <w:rPr>
            <w:noProof/>
          </w:rPr>
          <w:fldChar w:fldCharType="separate"/>
        </w:r>
        <w:r>
          <w:rPr>
            <w:noProof/>
          </w:rPr>
          <w:t>41</w:t>
        </w:r>
        <w:r>
          <w:rPr>
            <w:noProof/>
          </w:rPr>
          <w:fldChar w:fldCharType="end"/>
        </w:r>
      </w:hyperlink>
    </w:p>
    <w:p w14:paraId="6046FCDD"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53" w:history="1">
        <w:r w:rsidRPr="00A44500">
          <w:rPr>
            <w:rStyle w:val="Collegamentoipertestuale"/>
            <w:rFonts w:ascii="Titillium" w:hAnsi="Titillium"/>
            <w:noProof/>
          </w:rPr>
          <w:t>23.</w:t>
        </w:r>
        <w:r w:rsidRPr="00276DF7">
          <w:rPr>
            <w:rFonts w:ascii="Calibri" w:hAnsi="Calibri"/>
            <w:smallCaps w:val="0"/>
            <w:noProof/>
            <w:sz w:val="22"/>
            <w:szCs w:val="22"/>
            <w:lang w:eastAsia="it-IT"/>
          </w:rPr>
          <w:tab/>
        </w:r>
        <w:r w:rsidRPr="00A44500">
          <w:rPr>
            <w:rStyle w:val="Collegamentoipertestuale"/>
            <w:rFonts w:ascii="Titillium" w:hAnsi="Titillium"/>
            <w:noProof/>
          </w:rPr>
          <w:t>VERIFICA DI ANOMALIA DELLE OFFERTE</w:t>
        </w:r>
        <w:r>
          <w:rPr>
            <w:noProof/>
          </w:rPr>
          <w:tab/>
        </w:r>
        <w:r>
          <w:rPr>
            <w:noProof/>
          </w:rPr>
          <w:fldChar w:fldCharType="begin"/>
        </w:r>
        <w:r>
          <w:rPr>
            <w:noProof/>
          </w:rPr>
          <w:instrText xml:space="preserve"> PAGEREF _Toc139549453 \h </w:instrText>
        </w:r>
        <w:r>
          <w:rPr>
            <w:noProof/>
          </w:rPr>
        </w:r>
        <w:r>
          <w:rPr>
            <w:noProof/>
          </w:rPr>
          <w:fldChar w:fldCharType="separate"/>
        </w:r>
        <w:r>
          <w:rPr>
            <w:noProof/>
          </w:rPr>
          <w:t>42</w:t>
        </w:r>
        <w:r>
          <w:rPr>
            <w:noProof/>
          </w:rPr>
          <w:fldChar w:fldCharType="end"/>
        </w:r>
      </w:hyperlink>
    </w:p>
    <w:p w14:paraId="1E5FA698"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54" w:history="1">
        <w:r w:rsidRPr="00A44500">
          <w:rPr>
            <w:rStyle w:val="Collegamentoipertestuale"/>
            <w:rFonts w:ascii="Titillium" w:hAnsi="Titillium"/>
            <w:noProof/>
          </w:rPr>
          <w:t>22.</w:t>
        </w:r>
        <w:r w:rsidRPr="00276DF7">
          <w:rPr>
            <w:rFonts w:ascii="Calibri" w:hAnsi="Calibri"/>
            <w:smallCaps w:val="0"/>
            <w:noProof/>
            <w:sz w:val="22"/>
            <w:szCs w:val="22"/>
            <w:lang w:eastAsia="it-IT"/>
          </w:rPr>
          <w:tab/>
        </w:r>
        <w:r w:rsidRPr="00A44500">
          <w:rPr>
            <w:rStyle w:val="Collegamentoipertestuale"/>
            <w:rFonts w:ascii="Titillium" w:eastAsia="SimSun" w:hAnsi="Titillium" w:cs="Calibri"/>
            <w:noProof/>
          </w:rPr>
          <w:t>VERIFICA DELLA DOCUMENTAZIONE AMMINISTRATIVA</w:t>
        </w:r>
        <w:r>
          <w:rPr>
            <w:noProof/>
          </w:rPr>
          <w:tab/>
        </w:r>
        <w:r>
          <w:rPr>
            <w:noProof/>
          </w:rPr>
          <w:fldChar w:fldCharType="begin"/>
        </w:r>
        <w:r>
          <w:rPr>
            <w:noProof/>
          </w:rPr>
          <w:instrText xml:space="preserve"> PAGEREF _Toc139549454 \h </w:instrText>
        </w:r>
        <w:r>
          <w:rPr>
            <w:noProof/>
          </w:rPr>
        </w:r>
        <w:r>
          <w:rPr>
            <w:noProof/>
          </w:rPr>
          <w:fldChar w:fldCharType="separate"/>
        </w:r>
        <w:r>
          <w:rPr>
            <w:noProof/>
          </w:rPr>
          <w:t>42</w:t>
        </w:r>
        <w:r>
          <w:rPr>
            <w:noProof/>
          </w:rPr>
          <w:fldChar w:fldCharType="end"/>
        </w:r>
      </w:hyperlink>
    </w:p>
    <w:p w14:paraId="5686D5CE"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55" w:history="1">
        <w:r w:rsidRPr="00A44500">
          <w:rPr>
            <w:rStyle w:val="Collegamentoipertestuale"/>
            <w:rFonts w:ascii="Titillium" w:hAnsi="Titillium"/>
            <w:noProof/>
          </w:rPr>
          <w:t>23.</w:t>
        </w:r>
        <w:r w:rsidRPr="00276DF7">
          <w:rPr>
            <w:rFonts w:ascii="Calibri" w:hAnsi="Calibri"/>
            <w:smallCaps w:val="0"/>
            <w:noProof/>
            <w:sz w:val="22"/>
            <w:szCs w:val="22"/>
            <w:lang w:eastAsia="it-IT"/>
          </w:rPr>
          <w:tab/>
        </w:r>
        <w:r w:rsidRPr="00A44500">
          <w:rPr>
            <w:rStyle w:val="Collegamentoipertestuale"/>
            <w:rFonts w:ascii="Titillium" w:hAnsi="Titillium"/>
            <w:noProof/>
          </w:rPr>
          <w:t>AGGIUDICAZIONE DELL’APPALTO E STIPULA DEL CONTRATTO</w:t>
        </w:r>
        <w:r>
          <w:rPr>
            <w:noProof/>
          </w:rPr>
          <w:tab/>
        </w:r>
        <w:r>
          <w:rPr>
            <w:noProof/>
          </w:rPr>
          <w:fldChar w:fldCharType="begin"/>
        </w:r>
        <w:r>
          <w:rPr>
            <w:noProof/>
          </w:rPr>
          <w:instrText xml:space="preserve"> PAGEREF _Toc139549455 \h </w:instrText>
        </w:r>
        <w:r>
          <w:rPr>
            <w:noProof/>
          </w:rPr>
        </w:r>
        <w:r>
          <w:rPr>
            <w:noProof/>
          </w:rPr>
          <w:fldChar w:fldCharType="separate"/>
        </w:r>
        <w:r>
          <w:rPr>
            <w:noProof/>
          </w:rPr>
          <w:t>43</w:t>
        </w:r>
        <w:r>
          <w:rPr>
            <w:noProof/>
          </w:rPr>
          <w:fldChar w:fldCharType="end"/>
        </w:r>
      </w:hyperlink>
    </w:p>
    <w:p w14:paraId="0DC52FB5"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56" w:history="1">
        <w:r w:rsidRPr="00A44500">
          <w:rPr>
            <w:rStyle w:val="Collegamentoipertestuale"/>
            <w:rFonts w:ascii="Titillium" w:hAnsi="Titillium"/>
            <w:noProof/>
          </w:rPr>
          <w:t>24.</w:t>
        </w:r>
        <w:r w:rsidRPr="00276DF7">
          <w:rPr>
            <w:rFonts w:ascii="Calibri" w:hAnsi="Calibri"/>
            <w:smallCaps w:val="0"/>
            <w:noProof/>
            <w:sz w:val="22"/>
            <w:szCs w:val="22"/>
            <w:lang w:eastAsia="it-IT"/>
          </w:rPr>
          <w:tab/>
        </w:r>
        <w:r w:rsidRPr="00A44500">
          <w:rPr>
            <w:rStyle w:val="Collegamentoipertestuale"/>
            <w:rFonts w:ascii="Titillium" w:hAnsi="Titillium"/>
            <w:noProof/>
          </w:rPr>
          <w:t>OBBLIGHI RELATIVI ALLA TRACCIABILITÀ DEI FLUSSI FINANZIARI</w:t>
        </w:r>
        <w:r>
          <w:rPr>
            <w:noProof/>
          </w:rPr>
          <w:tab/>
        </w:r>
        <w:r>
          <w:rPr>
            <w:noProof/>
          </w:rPr>
          <w:fldChar w:fldCharType="begin"/>
        </w:r>
        <w:r>
          <w:rPr>
            <w:noProof/>
          </w:rPr>
          <w:instrText xml:space="preserve"> PAGEREF _Toc139549456 \h </w:instrText>
        </w:r>
        <w:r>
          <w:rPr>
            <w:noProof/>
          </w:rPr>
        </w:r>
        <w:r>
          <w:rPr>
            <w:noProof/>
          </w:rPr>
          <w:fldChar w:fldCharType="separate"/>
        </w:r>
        <w:r>
          <w:rPr>
            <w:noProof/>
          </w:rPr>
          <w:t>44</w:t>
        </w:r>
        <w:r>
          <w:rPr>
            <w:noProof/>
          </w:rPr>
          <w:fldChar w:fldCharType="end"/>
        </w:r>
      </w:hyperlink>
    </w:p>
    <w:p w14:paraId="60C3ED7F"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57" w:history="1">
        <w:r w:rsidRPr="00A44500">
          <w:rPr>
            <w:rStyle w:val="Collegamentoipertestuale"/>
            <w:rFonts w:ascii="Titillium" w:hAnsi="Titillium"/>
            <w:noProof/>
          </w:rPr>
          <w:t>25.</w:t>
        </w:r>
        <w:r w:rsidRPr="00276DF7">
          <w:rPr>
            <w:rFonts w:ascii="Calibri" w:hAnsi="Calibri"/>
            <w:smallCaps w:val="0"/>
            <w:noProof/>
            <w:sz w:val="22"/>
            <w:szCs w:val="22"/>
            <w:lang w:eastAsia="it-IT"/>
          </w:rPr>
          <w:tab/>
        </w:r>
        <w:r w:rsidRPr="00A44500">
          <w:rPr>
            <w:rStyle w:val="Collegamentoipertestuale"/>
            <w:rFonts w:ascii="Titillium" w:hAnsi="Titillium"/>
            <w:noProof/>
          </w:rPr>
          <w:t>CODICE DI COMPORTAMENTO</w:t>
        </w:r>
        <w:r>
          <w:rPr>
            <w:noProof/>
          </w:rPr>
          <w:tab/>
        </w:r>
        <w:r>
          <w:rPr>
            <w:noProof/>
          </w:rPr>
          <w:fldChar w:fldCharType="begin"/>
        </w:r>
        <w:r>
          <w:rPr>
            <w:noProof/>
          </w:rPr>
          <w:instrText xml:space="preserve"> PAGEREF _Toc139549457 \h </w:instrText>
        </w:r>
        <w:r>
          <w:rPr>
            <w:noProof/>
          </w:rPr>
        </w:r>
        <w:r>
          <w:rPr>
            <w:noProof/>
          </w:rPr>
          <w:fldChar w:fldCharType="separate"/>
        </w:r>
        <w:r>
          <w:rPr>
            <w:noProof/>
          </w:rPr>
          <w:t>45</w:t>
        </w:r>
        <w:r>
          <w:rPr>
            <w:noProof/>
          </w:rPr>
          <w:fldChar w:fldCharType="end"/>
        </w:r>
      </w:hyperlink>
    </w:p>
    <w:p w14:paraId="577B0A8F"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58" w:history="1">
        <w:r w:rsidRPr="00A44500">
          <w:rPr>
            <w:rStyle w:val="Collegamentoipertestuale"/>
            <w:rFonts w:ascii="Titillium" w:hAnsi="Titillium"/>
            <w:noProof/>
          </w:rPr>
          <w:t>26.</w:t>
        </w:r>
        <w:r w:rsidRPr="00276DF7">
          <w:rPr>
            <w:rFonts w:ascii="Calibri" w:hAnsi="Calibri"/>
            <w:smallCaps w:val="0"/>
            <w:noProof/>
            <w:sz w:val="22"/>
            <w:szCs w:val="22"/>
            <w:lang w:eastAsia="it-IT"/>
          </w:rPr>
          <w:tab/>
        </w:r>
        <w:r w:rsidRPr="00A44500">
          <w:rPr>
            <w:rStyle w:val="Collegamentoipertestuale"/>
            <w:rFonts w:ascii="Titillium" w:hAnsi="Titillium"/>
            <w:noProof/>
          </w:rPr>
          <w:t>ACCESSO AGLI ATTI</w:t>
        </w:r>
        <w:r>
          <w:rPr>
            <w:noProof/>
          </w:rPr>
          <w:tab/>
        </w:r>
        <w:r>
          <w:rPr>
            <w:noProof/>
          </w:rPr>
          <w:fldChar w:fldCharType="begin"/>
        </w:r>
        <w:r>
          <w:rPr>
            <w:noProof/>
          </w:rPr>
          <w:instrText xml:space="preserve"> PAGEREF _Toc139549458 \h </w:instrText>
        </w:r>
        <w:r>
          <w:rPr>
            <w:noProof/>
          </w:rPr>
        </w:r>
        <w:r>
          <w:rPr>
            <w:noProof/>
          </w:rPr>
          <w:fldChar w:fldCharType="separate"/>
        </w:r>
        <w:r>
          <w:rPr>
            <w:noProof/>
          </w:rPr>
          <w:t>45</w:t>
        </w:r>
        <w:r>
          <w:rPr>
            <w:noProof/>
          </w:rPr>
          <w:fldChar w:fldCharType="end"/>
        </w:r>
      </w:hyperlink>
    </w:p>
    <w:p w14:paraId="2650FF98"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59" w:history="1">
        <w:r w:rsidRPr="00A44500">
          <w:rPr>
            <w:rStyle w:val="Collegamentoipertestuale"/>
            <w:rFonts w:ascii="Titillium" w:hAnsi="Titillium"/>
            <w:noProof/>
          </w:rPr>
          <w:t>27.</w:t>
        </w:r>
        <w:r w:rsidRPr="00276DF7">
          <w:rPr>
            <w:rFonts w:ascii="Calibri" w:hAnsi="Calibri"/>
            <w:smallCaps w:val="0"/>
            <w:noProof/>
            <w:sz w:val="22"/>
            <w:szCs w:val="22"/>
            <w:lang w:eastAsia="it-IT"/>
          </w:rPr>
          <w:tab/>
        </w:r>
        <w:r w:rsidRPr="00A44500">
          <w:rPr>
            <w:rStyle w:val="Collegamentoipertestuale"/>
            <w:rFonts w:ascii="Titillium" w:hAnsi="Titillium"/>
            <w:noProof/>
          </w:rPr>
          <w:t>DEFINIZIONE DELLE CONTROVERSIE</w:t>
        </w:r>
        <w:r>
          <w:rPr>
            <w:noProof/>
          </w:rPr>
          <w:tab/>
        </w:r>
        <w:r>
          <w:rPr>
            <w:noProof/>
          </w:rPr>
          <w:fldChar w:fldCharType="begin"/>
        </w:r>
        <w:r>
          <w:rPr>
            <w:noProof/>
          </w:rPr>
          <w:instrText xml:space="preserve"> PAGEREF _Toc139549459 \h </w:instrText>
        </w:r>
        <w:r>
          <w:rPr>
            <w:noProof/>
          </w:rPr>
        </w:r>
        <w:r>
          <w:rPr>
            <w:noProof/>
          </w:rPr>
          <w:fldChar w:fldCharType="separate"/>
        </w:r>
        <w:r>
          <w:rPr>
            <w:noProof/>
          </w:rPr>
          <w:t>45</w:t>
        </w:r>
        <w:r>
          <w:rPr>
            <w:noProof/>
          </w:rPr>
          <w:fldChar w:fldCharType="end"/>
        </w:r>
      </w:hyperlink>
    </w:p>
    <w:p w14:paraId="0C6A366D" w14:textId="77777777" w:rsidR="00276DF7" w:rsidRPr="00276DF7" w:rsidRDefault="00276DF7" w:rsidP="00276DF7">
      <w:pPr>
        <w:pStyle w:val="Sommario2"/>
        <w:shd w:val="clear" w:color="auto" w:fill="F2F2F2" w:themeFill="background1" w:themeFillShade="F2"/>
        <w:rPr>
          <w:rFonts w:ascii="Calibri" w:hAnsi="Calibri"/>
          <w:smallCaps w:val="0"/>
          <w:noProof/>
          <w:sz w:val="22"/>
          <w:szCs w:val="22"/>
          <w:lang w:eastAsia="it-IT"/>
        </w:rPr>
      </w:pPr>
      <w:hyperlink w:anchor="_Toc139549460" w:history="1">
        <w:r w:rsidRPr="00A44500">
          <w:rPr>
            <w:rStyle w:val="Collegamentoipertestuale"/>
            <w:rFonts w:ascii="Titillium" w:hAnsi="Titillium"/>
            <w:noProof/>
          </w:rPr>
          <w:t>28.</w:t>
        </w:r>
        <w:r w:rsidRPr="00276DF7">
          <w:rPr>
            <w:rFonts w:ascii="Calibri" w:hAnsi="Calibri"/>
            <w:smallCaps w:val="0"/>
            <w:noProof/>
            <w:sz w:val="22"/>
            <w:szCs w:val="22"/>
            <w:lang w:eastAsia="it-IT"/>
          </w:rPr>
          <w:tab/>
        </w:r>
        <w:r w:rsidRPr="00A44500">
          <w:rPr>
            <w:rStyle w:val="Collegamentoipertestuale"/>
            <w:rFonts w:ascii="Titillium" w:hAnsi="Titillium"/>
            <w:noProof/>
          </w:rPr>
          <w:t>TRATTAMENTO DEI DATI PERSONALI</w:t>
        </w:r>
        <w:r>
          <w:rPr>
            <w:noProof/>
          </w:rPr>
          <w:tab/>
        </w:r>
        <w:r>
          <w:rPr>
            <w:noProof/>
          </w:rPr>
          <w:fldChar w:fldCharType="begin"/>
        </w:r>
        <w:r>
          <w:rPr>
            <w:noProof/>
          </w:rPr>
          <w:instrText xml:space="preserve"> PAGEREF _Toc139549460 \h </w:instrText>
        </w:r>
        <w:r>
          <w:rPr>
            <w:noProof/>
          </w:rPr>
        </w:r>
        <w:r>
          <w:rPr>
            <w:noProof/>
          </w:rPr>
          <w:fldChar w:fldCharType="separate"/>
        </w:r>
        <w:r>
          <w:rPr>
            <w:noProof/>
          </w:rPr>
          <w:t>46</w:t>
        </w:r>
        <w:r>
          <w:rPr>
            <w:noProof/>
          </w:rPr>
          <w:fldChar w:fldCharType="end"/>
        </w:r>
      </w:hyperlink>
    </w:p>
    <w:p w14:paraId="61B69CA8" w14:textId="7D279AC5" w:rsidR="00276DF7" w:rsidRPr="00276DF7" w:rsidRDefault="00276DF7" w:rsidP="00276DF7">
      <w:pPr>
        <w:pStyle w:val="Sommario2"/>
        <w:shd w:val="clear" w:color="auto" w:fill="F2F2F2" w:themeFill="background1" w:themeFillShade="F2"/>
        <w:rPr>
          <w:rFonts w:ascii="Calibri" w:hAnsi="Calibri"/>
          <w:smallCaps w:val="0"/>
          <w:sz w:val="22"/>
          <w:szCs w:val="22"/>
          <w:lang w:eastAsia="it-IT"/>
        </w:rPr>
      </w:pPr>
      <w:r>
        <w:rPr>
          <w:rStyle w:val="Saltoaindice"/>
        </w:rPr>
        <w:fldChar w:fldCharType="end"/>
      </w:r>
    </w:p>
    <w:p w14:paraId="35A4C78D" w14:textId="77777777" w:rsidR="00276DF7" w:rsidRPr="009560B2" w:rsidRDefault="00276DF7" w:rsidP="00276DF7">
      <w:pPr>
        <w:pStyle w:val="Sommario1"/>
        <w:shd w:val="clear" w:color="auto" w:fill="F2F2F2" w:themeFill="background1" w:themeFillShade="F2"/>
      </w:pPr>
    </w:p>
    <w:p w14:paraId="0D8842FE" w14:textId="77777777" w:rsidR="00276DF7" w:rsidRPr="0083544E" w:rsidRDefault="00276DF7" w:rsidP="00276DF7">
      <w:pPr>
        <w:pStyle w:val="Sommario2"/>
        <w:shd w:val="clear" w:color="auto" w:fill="F2F2F2" w:themeFill="background1" w:themeFillShade="F2"/>
        <w:rPr>
          <w:lang w:eastAsia="it-IT"/>
        </w:rPr>
      </w:pPr>
    </w:p>
    <w:p w14:paraId="3F7ECAC9" w14:textId="77777777" w:rsidR="00276DF7" w:rsidRPr="0083544E" w:rsidRDefault="00276DF7" w:rsidP="00276DF7">
      <w:pPr>
        <w:pStyle w:val="Sommario2"/>
        <w:shd w:val="clear" w:color="auto" w:fill="F2F2F2" w:themeFill="background1" w:themeFillShade="F2"/>
        <w:rPr>
          <w:lang w:eastAsia="it-IT"/>
        </w:rPr>
      </w:pPr>
    </w:p>
    <w:p w14:paraId="7E3669EA" w14:textId="77777777" w:rsidR="00276DF7" w:rsidRPr="0083544E" w:rsidRDefault="00276DF7" w:rsidP="00276DF7">
      <w:pPr>
        <w:pStyle w:val="Sommario2"/>
        <w:shd w:val="clear" w:color="auto" w:fill="F2F2F2" w:themeFill="background1" w:themeFillShade="F2"/>
        <w:rPr>
          <w:lang w:eastAsia="it-IT"/>
        </w:rPr>
      </w:pPr>
    </w:p>
    <w:p w14:paraId="088A419A" w14:textId="77777777" w:rsidR="00276DF7" w:rsidRPr="0083544E" w:rsidRDefault="00276DF7" w:rsidP="00276DF7">
      <w:pPr>
        <w:pStyle w:val="Sommario2"/>
        <w:shd w:val="clear" w:color="auto" w:fill="F2F2F2" w:themeFill="background1" w:themeFillShade="F2"/>
        <w:rPr>
          <w:lang w:eastAsia="it-IT"/>
        </w:rPr>
      </w:pPr>
    </w:p>
    <w:p w14:paraId="3B0373B5" w14:textId="77777777" w:rsidR="00276DF7" w:rsidRPr="0083544E" w:rsidRDefault="00276DF7" w:rsidP="00276DF7">
      <w:pPr>
        <w:pStyle w:val="Sommario2"/>
        <w:shd w:val="clear" w:color="auto" w:fill="F2F2F2" w:themeFill="background1" w:themeFillShade="F2"/>
        <w:rPr>
          <w:lang w:eastAsia="it-IT"/>
        </w:rPr>
      </w:pPr>
    </w:p>
    <w:p w14:paraId="0E7ABA87" w14:textId="77777777" w:rsidR="00276DF7" w:rsidRDefault="00276DF7" w:rsidP="00276DF7">
      <w:pPr>
        <w:widowControl w:val="0"/>
        <w:shd w:val="clear" w:color="auto" w:fill="F2F2F2" w:themeFill="background1" w:themeFillShade="F2"/>
        <w:spacing w:before="60" w:after="60"/>
        <w:rPr>
          <w:rFonts w:ascii="Titillium" w:hAnsi="Titillium" w:cs="Calibri"/>
          <w:lang w:eastAsia="it-IT"/>
        </w:rPr>
      </w:pPr>
      <w:r>
        <w:br w:type="page"/>
      </w:r>
    </w:p>
    <w:p w14:paraId="1552835E" w14:textId="77777777" w:rsidR="00276DF7" w:rsidRDefault="00276DF7" w:rsidP="00276DF7">
      <w:pPr>
        <w:pStyle w:val="Titolo1"/>
        <w:shd w:val="clear" w:color="auto" w:fill="F2F2F2" w:themeFill="background1" w:themeFillShade="F2"/>
        <w:spacing w:before="100" w:after="100"/>
      </w:pPr>
      <w:bookmarkStart w:id="1" w:name="_Toc492630594"/>
      <w:bookmarkStart w:id="2" w:name="_Toc139549406"/>
      <w:r>
        <w:rPr>
          <w:rFonts w:ascii="Titillium" w:hAnsi="Titillium"/>
          <w:sz w:val="18"/>
          <w:szCs w:val="18"/>
          <w:lang w:val="it-IT"/>
        </w:rPr>
        <w:t xml:space="preserve">AMBITO DI APPLICAZIONE E </w:t>
      </w:r>
      <w:r>
        <w:rPr>
          <w:rFonts w:ascii="Titillium" w:hAnsi="Titillium"/>
          <w:sz w:val="18"/>
          <w:szCs w:val="18"/>
        </w:rPr>
        <w:t>ISTRUZIONI PER LA COMPILAZIONE</w:t>
      </w:r>
      <w:bookmarkEnd w:id="1"/>
      <w:bookmarkEnd w:id="2"/>
      <w:r>
        <w:rPr>
          <w:rFonts w:ascii="Titillium" w:hAnsi="Titillium"/>
          <w:sz w:val="18"/>
          <w:szCs w:val="18"/>
        </w:rPr>
        <w:t xml:space="preserve"> </w:t>
      </w:r>
    </w:p>
    <w:p w14:paraId="19867B14" w14:textId="77777777" w:rsidR="00276DF7" w:rsidRPr="00851D38" w:rsidRDefault="00276DF7" w:rsidP="00276DF7">
      <w:pPr>
        <w:widowControl w:val="0"/>
        <w:shd w:val="clear" w:color="auto" w:fill="F2F2F2" w:themeFill="background1" w:themeFillShade="F2"/>
        <w:rPr>
          <w:rFonts w:ascii="Titillium" w:hAnsi="Titillium" w:cs="Calibri"/>
          <w:sz w:val="18"/>
          <w:szCs w:val="18"/>
          <w:lang w:eastAsia="it-IT"/>
        </w:rPr>
      </w:pPr>
      <w:r>
        <w:rPr>
          <w:rFonts w:ascii="Titillium" w:hAnsi="Titillium" w:cs="Calibri"/>
          <w:sz w:val="18"/>
          <w:szCs w:val="18"/>
          <w:lang w:eastAsia="it-IT"/>
        </w:rPr>
        <w:t xml:space="preserve">Il presente Disciplinare tipo si applica alle procedure aperte aventi ad oggetto l’affidamento di contratti pubblici di servizi e forniture nei settori ordinari di importo pari o superiore alle soglie di rilevanza europea, con il criterio dell’offerta </w:t>
      </w:r>
      <w:r w:rsidRPr="00851D38">
        <w:rPr>
          <w:rFonts w:ascii="Titillium" w:hAnsi="Titillium" w:cs="Calibri"/>
          <w:sz w:val="18"/>
          <w:szCs w:val="18"/>
          <w:lang w:eastAsia="it-IT"/>
        </w:rPr>
        <w:t>economicamente più vantaggiosa sulla base del miglior rapporto qualità/prezzo.</w:t>
      </w:r>
    </w:p>
    <w:p w14:paraId="572C5E25" w14:textId="77777777" w:rsidR="00276DF7" w:rsidRPr="00851D38" w:rsidRDefault="00276DF7" w:rsidP="00276DF7">
      <w:pPr>
        <w:widowControl w:val="0"/>
        <w:shd w:val="clear" w:color="auto" w:fill="F2F2F2" w:themeFill="background1" w:themeFillShade="F2"/>
      </w:pPr>
      <w:r w:rsidRPr="00851D38">
        <w:rPr>
          <w:rFonts w:ascii="Titillium" w:hAnsi="Titillium" w:cs="Calibri"/>
          <w:sz w:val="18"/>
          <w:szCs w:val="18"/>
          <w:lang w:eastAsia="it-IT"/>
        </w:rPr>
        <w:t xml:space="preserve">Le parti del presente Disciplinare tipo, indicate con carattere normale, rappresentano l’ipotesi base di formulazione. </w:t>
      </w:r>
      <w:r w:rsidRPr="00851D38">
        <w:rPr>
          <w:rFonts w:ascii="Titillium" w:hAnsi="Titillium" w:cs="Calibri"/>
          <w:sz w:val="18"/>
          <w:szCs w:val="18"/>
        </w:rPr>
        <w:t>In tale modello base sono evidenziate le parti variabili o opzionali, mediante il ricorso a corsivo o parentesi quadre, come di seguito specificato.</w:t>
      </w:r>
    </w:p>
    <w:p w14:paraId="5C248DE7" w14:textId="77777777" w:rsidR="00276DF7" w:rsidRPr="00851D38" w:rsidRDefault="00276DF7" w:rsidP="00276DF7">
      <w:pPr>
        <w:widowControl w:val="0"/>
        <w:shd w:val="clear" w:color="auto" w:fill="F2F2F2" w:themeFill="background1" w:themeFillShade="F2"/>
        <w:spacing w:before="60" w:after="60"/>
        <w:rPr>
          <w:rFonts w:ascii="Titillium" w:hAnsi="Titillium" w:cs="Calibri"/>
          <w:sz w:val="18"/>
          <w:szCs w:val="18"/>
          <w:lang w:eastAsia="it-IT"/>
        </w:rPr>
      </w:pPr>
      <w:r w:rsidRPr="00851D38">
        <w:rPr>
          <w:rFonts w:ascii="Titillium" w:hAnsi="Titillium" w:cs="Calibri"/>
          <w:sz w:val="18"/>
          <w:szCs w:val="18"/>
          <w:lang w:eastAsia="it-IT"/>
        </w:rPr>
        <w:t>Il presente schema recepisce la normativa vigente e, in particolare</w:t>
      </w:r>
      <w:r>
        <w:rPr>
          <w:rFonts w:ascii="Titillium" w:hAnsi="Titillium" w:cs="Calibri"/>
          <w:sz w:val="18"/>
          <w:szCs w:val="18"/>
          <w:lang w:eastAsia="it-IT"/>
        </w:rPr>
        <w:t>,</w:t>
      </w:r>
      <w:r w:rsidRPr="00851D38">
        <w:rPr>
          <w:rFonts w:ascii="Titillium" w:hAnsi="Titillium" w:cs="Calibri"/>
          <w:sz w:val="18"/>
          <w:szCs w:val="18"/>
          <w:lang w:eastAsia="it-IT"/>
        </w:rPr>
        <w:t xml:space="preserve"> il decreto legislativo 31 marzo 2023, n. 36</w:t>
      </w:r>
      <w:r>
        <w:rPr>
          <w:rFonts w:ascii="Titillium" w:hAnsi="Titillium" w:cs="Calibri"/>
          <w:sz w:val="18"/>
          <w:szCs w:val="18"/>
          <w:lang w:eastAsia="it-IT"/>
        </w:rPr>
        <w:t>.</w:t>
      </w:r>
    </w:p>
    <w:p w14:paraId="0164B64E" w14:textId="77777777" w:rsidR="00276DF7" w:rsidRDefault="00276DF7" w:rsidP="00276DF7">
      <w:pPr>
        <w:widowControl w:val="0"/>
        <w:shd w:val="clear" w:color="auto" w:fill="F2F2F2" w:themeFill="background1" w:themeFillShade="F2"/>
        <w:spacing w:before="60" w:after="60"/>
        <w:rPr>
          <w:rFonts w:ascii="Titillium" w:hAnsi="Titillium" w:cs="Calibri"/>
          <w:sz w:val="18"/>
          <w:szCs w:val="18"/>
          <w:lang w:eastAsia="it-IT"/>
        </w:rPr>
      </w:pPr>
      <w:r>
        <w:rPr>
          <w:rFonts w:ascii="Titillium" w:hAnsi="Titillium" w:cs="Calibri"/>
          <w:sz w:val="18"/>
          <w:szCs w:val="18"/>
          <w:lang w:eastAsia="it-IT"/>
        </w:rPr>
        <w:t xml:space="preserve">Lo schema di disciplinare di gara </w:t>
      </w:r>
      <w:r w:rsidRPr="00851D38">
        <w:rPr>
          <w:rFonts w:ascii="Titillium" w:hAnsi="Titillium" w:cs="Calibri"/>
          <w:sz w:val="18"/>
          <w:szCs w:val="18"/>
          <w:lang w:eastAsia="it-IT"/>
        </w:rPr>
        <w:t>acquista efficacia il quindicesimo giorno successivo alla pubblicazione nella Gazzetta Ufficiale della Repubblica</w:t>
      </w:r>
      <w:r w:rsidRPr="00352F6C">
        <w:rPr>
          <w:rFonts w:ascii="Titillium" w:hAnsi="Titillium" w:cs="Calibri"/>
          <w:sz w:val="18"/>
          <w:szCs w:val="18"/>
          <w:lang w:eastAsia="it-IT"/>
        </w:rPr>
        <w:t xml:space="preserve"> Italiana.</w:t>
      </w:r>
    </w:p>
    <w:p w14:paraId="0FB28A95" w14:textId="77777777" w:rsidR="00276DF7" w:rsidRDefault="00276DF7" w:rsidP="00276DF7">
      <w:pPr>
        <w:widowControl w:val="0"/>
        <w:shd w:val="clear" w:color="auto" w:fill="F2F2F2" w:themeFill="background1" w:themeFillShade="F2"/>
        <w:spacing w:before="60" w:after="60"/>
        <w:rPr>
          <w:rFonts w:ascii="Titillium" w:hAnsi="Titillium" w:cs="Calibri"/>
          <w:lang w:eastAsia="it-IT"/>
        </w:rPr>
      </w:pPr>
    </w:p>
    <w:p w14:paraId="4F7B2B1B" w14:textId="77777777" w:rsidR="00276DF7" w:rsidRPr="00763413" w:rsidRDefault="00276DF7" w:rsidP="00276DF7">
      <w:pPr>
        <w:pStyle w:val="Paragrafoelenco"/>
        <w:widowControl w:val="0"/>
        <w:numPr>
          <w:ilvl w:val="0"/>
          <w:numId w:val="9"/>
        </w:numPr>
        <w:shd w:val="clear" w:color="auto" w:fill="F2F2F2" w:themeFill="background1" w:themeFillShade="F2"/>
        <w:spacing w:before="60" w:after="60"/>
        <w:ind w:left="284" w:hanging="284"/>
        <w:rPr>
          <w:rFonts w:ascii="Titillium" w:hAnsi="Titillium" w:cs="Calibri"/>
          <w:b/>
          <w:smallCaps/>
          <w:sz w:val="18"/>
          <w:szCs w:val="18"/>
        </w:rPr>
      </w:pPr>
      <w:bookmarkStart w:id="3" w:name="_Toc406058360"/>
      <w:bookmarkStart w:id="4" w:name="_Toc403471254"/>
      <w:bookmarkStart w:id="5" w:name="_Toc397422847"/>
      <w:bookmarkStart w:id="6" w:name="_Toc397346806"/>
      <w:bookmarkStart w:id="7" w:name="_Toc393706891"/>
      <w:bookmarkStart w:id="8" w:name="_Toc393700818"/>
      <w:bookmarkStart w:id="9" w:name="_Toc393283159"/>
      <w:bookmarkStart w:id="10" w:name="_Toc393272643"/>
      <w:bookmarkStart w:id="11" w:name="_Toc393272585"/>
      <w:bookmarkStart w:id="12" w:name="_Toc393187829"/>
      <w:bookmarkStart w:id="13" w:name="_Toc393112110"/>
      <w:bookmarkStart w:id="14" w:name="_Toc393110546"/>
      <w:bookmarkStart w:id="15" w:name="_Toc392577479"/>
      <w:bookmarkStart w:id="16" w:name="_Toc391036039"/>
      <w:bookmarkStart w:id="17" w:name="_Toc391035966"/>
      <w:bookmarkStart w:id="18" w:name="_Toc380501854"/>
      <w:bookmarkStart w:id="19" w:name="_Toc416423343"/>
      <w:bookmarkStart w:id="20" w:name="_Toc406754160"/>
      <w:r>
        <w:rPr>
          <w:rFonts w:ascii="Titillium" w:hAnsi="Titillium" w:cs="Calibri"/>
          <w:b/>
          <w:smallCaps/>
          <w:sz w:val="18"/>
          <w:szCs w:val="18"/>
        </w:rPr>
        <w:t>informazioni da riportare in base alle esigenze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Titillium" w:hAnsi="Titillium" w:cs="Calibri"/>
          <w:b/>
          <w:smallCaps/>
          <w:sz w:val="18"/>
          <w:szCs w:val="18"/>
        </w:rPr>
        <w:t xml:space="preserve"> della stazione appaltante</w:t>
      </w:r>
    </w:p>
    <w:p w14:paraId="433179E5" w14:textId="77777777" w:rsidR="00276DF7" w:rsidRDefault="00276DF7" w:rsidP="00276DF7">
      <w:pPr>
        <w:widowControl w:val="0"/>
        <w:shd w:val="clear" w:color="auto" w:fill="F2F2F2" w:themeFill="background1" w:themeFillShade="F2"/>
        <w:spacing w:before="60" w:after="60"/>
      </w:pPr>
      <w:r>
        <w:rPr>
          <w:rFonts w:ascii="Titillium" w:hAnsi="Titillium" w:cs="Calibri"/>
          <w:sz w:val="18"/>
          <w:szCs w:val="18"/>
          <w:lang w:eastAsia="it-IT"/>
        </w:rPr>
        <w:t>Gli spazi lasciati liberi devono essere compilati dalla stazione appaltante in base alle caratteristiche specifiche dell’appalto</w:t>
      </w:r>
      <w:r>
        <w:rPr>
          <w:rFonts w:ascii="Titillium" w:hAnsi="Titillium" w:cs="Calibri"/>
          <w:sz w:val="18"/>
          <w:szCs w:val="18"/>
        </w:rPr>
        <w:t>. In tali parti, talvolta evidenziate tra parentesi quadre, sono contenuti esempi o è fornita una descrizione di come potrebbe essere riempito il relativo spazio da parte delle stazioni appaltanti.</w:t>
      </w:r>
    </w:p>
    <w:p w14:paraId="5C1E287F" w14:textId="77777777" w:rsidR="00276DF7" w:rsidRDefault="00276DF7" w:rsidP="00276DF7">
      <w:pPr>
        <w:widowControl w:val="0"/>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Ad esempio:</w:t>
      </w:r>
    </w:p>
    <w:p w14:paraId="0C0475F8" w14:textId="77777777" w:rsidR="00276DF7" w:rsidRDefault="00276DF7" w:rsidP="00276DF7">
      <w:pPr>
        <w:widowControl w:val="0"/>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w:t>
      </w:r>
      <w:r>
        <w:rPr>
          <w:rFonts w:ascii="Titillium" w:hAnsi="Titillium" w:cs="Calibri"/>
          <w:bCs/>
          <w:color w:val="000000"/>
          <w:sz w:val="18"/>
          <w:szCs w:val="18"/>
          <w:highlight w:val="white"/>
        </w:rPr>
        <w:t xml:space="preserve">Ai fini della partecipazione alla presente procedura, ogni operatore economico deve dotarsi, a propria cura, spesa e responsabilità della strumentazione tecnica ed informatica conforme a quella indicata nel presente disciplinare e nel documento …  </w:t>
      </w:r>
      <w:r>
        <w:rPr>
          <w:rFonts w:ascii="Titillium" w:hAnsi="Titillium" w:cs="Calibri"/>
          <w:bCs/>
          <w:i/>
          <w:iCs/>
          <w:color w:val="000000"/>
          <w:sz w:val="18"/>
          <w:szCs w:val="18"/>
          <w:highlight w:val="white"/>
        </w:rPr>
        <w:t>[indicarne il nome, ad esempio Condizioni generali di utilizzo della Piattaforma per gare telematiche o Regolamento tecnico]</w:t>
      </w:r>
      <w:r>
        <w:rPr>
          <w:rFonts w:ascii="Titillium" w:hAnsi="Titillium" w:cs="Calibri"/>
          <w:bCs/>
          <w:iCs/>
          <w:color w:val="000000"/>
          <w:sz w:val="18"/>
          <w:szCs w:val="18"/>
          <w:highlight w:val="white"/>
        </w:rPr>
        <w:t>, che disciplina il funzionamento e l’utilizzo della Piattaforma</w:t>
      </w:r>
      <w:r>
        <w:rPr>
          <w:rFonts w:ascii="Titillium" w:hAnsi="Titillium" w:cs="Calibri"/>
          <w:sz w:val="18"/>
          <w:szCs w:val="18"/>
        </w:rPr>
        <w:t>».</w:t>
      </w:r>
    </w:p>
    <w:p w14:paraId="222E58CD" w14:textId="77777777" w:rsidR="00276DF7" w:rsidRDefault="00276DF7" w:rsidP="00276DF7">
      <w:pPr>
        <w:widowControl w:val="0"/>
        <w:shd w:val="clear" w:color="auto" w:fill="F2F2F2" w:themeFill="background1" w:themeFillShade="F2"/>
        <w:tabs>
          <w:tab w:val="left" w:pos="2520"/>
        </w:tabs>
        <w:spacing w:before="60" w:after="60"/>
        <w:ind w:right="-1"/>
        <w:rPr>
          <w:rFonts w:ascii="Titillium" w:hAnsi="Titillium" w:cs="Calibri"/>
          <w:lang w:eastAsia="it-IT"/>
        </w:rPr>
      </w:pPr>
    </w:p>
    <w:p w14:paraId="671182AB" w14:textId="77777777" w:rsidR="00276DF7" w:rsidRPr="00763413" w:rsidRDefault="00276DF7" w:rsidP="00276DF7">
      <w:pPr>
        <w:pStyle w:val="Paragrafoelenco"/>
        <w:widowControl w:val="0"/>
        <w:numPr>
          <w:ilvl w:val="0"/>
          <w:numId w:val="9"/>
        </w:numPr>
        <w:shd w:val="clear" w:color="auto" w:fill="F2F2F2" w:themeFill="background1" w:themeFillShade="F2"/>
        <w:spacing w:before="60" w:after="60"/>
        <w:ind w:left="284" w:hanging="284"/>
        <w:rPr>
          <w:rFonts w:ascii="Titillium" w:hAnsi="Titillium" w:cs="Calibri"/>
          <w:b/>
          <w:smallCaps/>
          <w:sz w:val="18"/>
          <w:szCs w:val="18"/>
        </w:rPr>
      </w:pPr>
      <w:bookmarkStart w:id="21" w:name="_Toc481159794"/>
      <w:bookmarkStart w:id="22" w:name="_Toc481159737"/>
      <w:bookmarkStart w:id="23" w:name="_Toc481159691"/>
      <w:bookmarkStart w:id="24" w:name="_Toc481159352"/>
      <w:bookmarkStart w:id="25" w:name="_Toc481158956"/>
      <w:bookmarkStart w:id="26" w:name="_Toc481159991"/>
      <w:bookmarkStart w:id="27" w:name="_Toc481159846"/>
      <w:bookmarkStart w:id="28" w:name="_Toc416423344"/>
      <w:bookmarkStart w:id="29" w:name="_Toc406754161"/>
      <w:bookmarkStart w:id="30" w:name="_Toc406058361"/>
      <w:bookmarkStart w:id="31" w:name="_Toc403471255"/>
      <w:bookmarkStart w:id="32" w:name="_Toc397422848"/>
      <w:bookmarkStart w:id="33" w:name="_Toc397346807"/>
      <w:bookmarkStart w:id="34" w:name="_Toc393706892"/>
      <w:bookmarkStart w:id="35" w:name="_Toc393700819"/>
      <w:bookmarkStart w:id="36" w:name="_Toc393283160"/>
      <w:bookmarkStart w:id="37" w:name="_Toc393272644"/>
      <w:bookmarkStart w:id="38" w:name="_Toc393272586"/>
      <w:bookmarkStart w:id="39" w:name="_Toc393187830"/>
      <w:bookmarkStart w:id="40" w:name="_Toc393112111"/>
      <w:bookmarkStart w:id="41" w:name="_Toc393110547"/>
      <w:bookmarkStart w:id="42" w:name="_Toc392577480"/>
      <w:bookmarkStart w:id="43" w:name="_Toc391036040"/>
      <w:bookmarkStart w:id="44" w:name="_Toc391035967"/>
      <w:bookmarkStart w:id="45" w:name="_Toc380501855"/>
      <w:bookmarkEnd w:id="21"/>
      <w:bookmarkEnd w:id="22"/>
      <w:bookmarkEnd w:id="23"/>
      <w:bookmarkEnd w:id="24"/>
      <w:bookmarkEnd w:id="25"/>
      <w:bookmarkEnd w:id="26"/>
      <w:bookmarkEnd w:id="27"/>
      <w:r w:rsidRPr="00763413">
        <w:rPr>
          <w:rFonts w:ascii="Titillium" w:hAnsi="Titillium" w:cs="Calibri"/>
          <w:b/>
          <w:smallCaps/>
          <w:sz w:val="18"/>
          <w:szCs w:val="18"/>
        </w:rPr>
        <w:t>ipotesi alternative</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5CEBDED" w14:textId="77777777" w:rsidR="00276DF7" w:rsidRDefault="00276DF7" w:rsidP="00276DF7">
      <w:pPr>
        <w:widowControl w:val="0"/>
        <w:shd w:val="clear" w:color="auto" w:fill="F2F2F2" w:themeFill="background1" w:themeFillShade="F2"/>
      </w:pPr>
      <w:r>
        <w:rPr>
          <w:rFonts w:ascii="Titillium" w:hAnsi="Titillium" w:cs="Calibri"/>
          <w:sz w:val="18"/>
          <w:szCs w:val="18"/>
          <w:lang w:eastAsia="it-IT"/>
        </w:rPr>
        <w:t xml:space="preserve">Le clausole alternative sono segnalate dalle espressioni: </w:t>
      </w:r>
      <w:r>
        <w:rPr>
          <w:rFonts w:ascii="Titillium" w:hAnsi="Titillium" w:cs="Calibri"/>
          <w:b/>
          <w:i/>
          <w:sz w:val="18"/>
          <w:szCs w:val="18"/>
        </w:rPr>
        <w:t>[</w:t>
      </w:r>
      <w:r>
        <w:rPr>
          <w:rFonts w:ascii="Titillium" w:hAnsi="Titillium" w:cs="Calibri"/>
          <w:b/>
          <w:i/>
          <w:sz w:val="18"/>
          <w:szCs w:val="18"/>
          <w:lang w:eastAsia="it-IT"/>
        </w:rPr>
        <w:t>o in alternativa]</w:t>
      </w:r>
      <w:r>
        <w:rPr>
          <w:rFonts w:ascii="Titillium" w:hAnsi="Titillium" w:cs="Calibri"/>
          <w:sz w:val="18"/>
          <w:szCs w:val="18"/>
        </w:rPr>
        <w:t xml:space="preserve"> o </w:t>
      </w:r>
      <w:r>
        <w:rPr>
          <w:rFonts w:ascii="Titillium" w:hAnsi="Titillium" w:cs="Calibri"/>
          <w:b/>
          <w:i/>
          <w:sz w:val="18"/>
          <w:szCs w:val="18"/>
        </w:rPr>
        <w:t>[oppure]</w:t>
      </w:r>
      <w:r>
        <w:rPr>
          <w:rFonts w:ascii="Titillium" w:hAnsi="Titillium" w:cs="Calibri"/>
          <w:i/>
          <w:sz w:val="18"/>
          <w:szCs w:val="18"/>
        </w:rPr>
        <w:t xml:space="preserve">. </w:t>
      </w:r>
      <w:r>
        <w:rPr>
          <w:rFonts w:ascii="Titillium" w:hAnsi="Titillium" w:cs="Calibri"/>
          <w:sz w:val="18"/>
          <w:szCs w:val="18"/>
        </w:rPr>
        <w:t xml:space="preserve">La stazione appaltante </w:t>
      </w:r>
      <w:r>
        <w:rPr>
          <w:rFonts w:ascii="Titillium" w:hAnsi="Titillium" w:cs="Calibri"/>
          <w:sz w:val="18"/>
          <w:szCs w:val="18"/>
          <w:lang w:eastAsia="it-IT"/>
        </w:rPr>
        <w:t>sceglie la clausola che ritiene più opportuna.</w:t>
      </w:r>
    </w:p>
    <w:p w14:paraId="075904D8" w14:textId="77777777" w:rsidR="00276DF7" w:rsidRDefault="00276DF7" w:rsidP="00276DF7">
      <w:pPr>
        <w:widowControl w:val="0"/>
        <w:shd w:val="clear" w:color="auto" w:fill="F2F2F2" w:themeFill="background1" w:themeFillShade="F2"/>
        <w:rPr>
          <w:rFonts w:ascii="Titillium" w:hAnsi="Titillium" w:cs="Calibri"/>
          <w:sz w:val="18"/>
          <w:szCs w:val="18"/>
          <w:lang w:eastAsia="it-IT"/>
        </w:rPr>
      </w:pPr>
      <w:r>
        <w:rPr>
          <w:rFonts w:ascii="Titillium" w:hAnsi="Titillium" w:cs="Calibri"/>
          <w:sz w:val="18"/>
          <w:szCs w:val="18"/>
          <w:lang w:eastAsia="it-IT"/>
        </w:rPr>
        <w:t xml:space="preserve">Ad esempio: </w:t>
      </w:r>
    </w:p>
    <w:p w14:paraId="7D1B7A7A" w14:textId="77777777" w:rsidR="00276DF7" w:rsidRDefault="00276DF7" w:rsidP="00276DF7">
      <w:pPr>
        <w:shd w:val="clear" w:color="auto" w:fill="F2F2F2" w:themeFill="background1" w:themeFillShade="F2"/>
        <w:spacing w:before="60" w:after="60"/>
        <w:rPr>
          <w:rFonts w:ascii="Titillium" w:hAnsi="Titillium" w:cs="Calibri"/>
          <w:i/>
          <w:sz w:val="18"/>
          <w:szCs w:val="18"/>
        </w:rPr>
      </w:pPr>
      <w:r>
        <w:rPr>
          <w:rFonts w:ascii="Titillium" w:hAnsi="Titillium" w:cs="Calibri"/>
          <w:sz w:val="18"/>
          <w:szCs w:val="18"/>
          <w:lang w:eastAsia="it-IT"/>
        </w:rPr>
        <w:t>«</w:t>
      </w:r>
      <w:r>
        <w:rPr>
          <w:rFonts w:ascii="Titillium" w:hAnsi="Titillium" w:cs="Calibri"/>
          <w:sz w:val="18"/>
          <w:szCs w:val="18"/>
        </w:rPr>
        <w:t xml:space="preserve">Le richieste di chiarimenti e le relative risposte sono formulate esclusivamente in lingua italiana </w:t>
      </w:r>
      <w:r w:rsidRPr="00840480">
        <w:rPr>
          <w:rFonts w:ascii="Titillium" w:hAnsi="Titillium" w:cs="Calibri"/>
          <w:b/>
          <w:i/>
          <w:iCs/>
          <w:sz w:val="18"/>
          <w:szCs w:val="18"/>
        </w:rPr>
        <w:t xml:space="preserve">[in alternativa </w:t>
      </w:r>
      <w:r w:rsidRPr="00840480">
        <w:rPr>
          <w:rFonts w:ascii="Titillium" w:hAnsi="Titillium" w:cs="Calibri"/>
          <w:i/>
          <w:iCs/>
          <w:sz w:val="18"/>
          <w:szCs w:val="18"/>
        </w:rPr>
        <w:t>in caso di bilinguismo]</w:t>
      </w:r>
      <w:r w:rsidRPr="005A60DC">
        <w:rPr>
          <w:rFonts w:ascii="Titillium" w:hAnsi="Titillium" w:cs="Calibri"/>
          <w:b/>
          <w:sz w:val="18"/>
          <w:szCs w:val="18"/>
        </w:rPr>
        <w:t xml:space="preserve"> </w:t>
      </w:r>
      <w:r>
        <w:rPr>
          <w:rFonts w:ascii="Titillium" w:hAnsi="Titillium" w:cs="Calibri"/>
          <w:sz w:val="18"/>
          <w:szCs w:val="18"/>
        </w:rPr>
        <w:t xml:space="preserve">Le richieste di chiarimenti e le relative risposte sono formulate in lingua </w:t>
      </w:r>
      <w:r w:rsidRPr="00C93A93">
        <w:rPr>
          <w:rFonts w:ascii="Titillium" w:hAnsi="Titillium" w:cs="Calibri"/>
          <w:sz w:val="18"/>
          <w:szCs w:val="18"/>
          <w:lang w:eastAsia="it-IT"/>
        </w:rPr>
        <w:t>italiana</w:t>
      </w:r>
      <w:r>
        <w:rPr>
          <w:rFonts w:ascii="Titillium" w:hAnsi="Titillium" w:cs="Calibri"/>
          <w:sz w:val="18"/>
          <w:szCs w:val="18"/>
          <w:lang w:eastAsia="it-IT"/>
        </w:rPr>
        <w:t xml:space="preserve"> [</w:t>
      </w:r>
      <w:r w:rsidRPr="00B44957">
        <w:rPr>
          <w:rFonts w:ascii="Titillium" w:hAnsi="Titillium" w:cs="Calibri"/>
          <w:i/>
          <w:sz w:val="18"/>
          <w:szCs w:val="18"/>
          <w:lang w:eastAsia="it-IT"/>
        </w:rPr>
        <w:t>e, o specificare</w:t>
      </w:r>
      <w:r>
        <w:rPr>
          <w:rFonts w:ascii="Titillium" w:hAnsi="Titillium" w:cs="Calibri"/>
          <w:sz w:val="18"/>
          <w:szCs w:val="18"/>
          <w:lang w:eastAsia="it-IT"/>
        </w:rPr>
        <w:t xml:space="preserve">] </w:t>
      </w:r>
      <w:r>
        <w:rPr>
          <w:rFonts w:ascii="Titillium" w:hAnsi="Titillium" w:cs="Calibri"/>
          <w:sz w:val="18"/>
          <w:szCs w:val="18"/>
        </w:rPr>
        <w:t xml:space="preserve">… </w:t>
      </w:r>
      <w:r w:rsidRPr="00331E4A">
        <w:rPr>
          <w:rFonts w:ascii="Titillium" w:hAnsi="Titillium" w:cs="Calibri"/>
          <w:i/>
          <w:sz w:val="18"/>
          <w:szCs w:val="18"/>
        </w:rPr>
        <w:t>[indicare l’altra lingua]</w:t>
      </w:r>
      <w:r>
        <w:rPr>
          <w:rFonts w:ascii="Titillium" w:hAnsi="Titillium" w:cs="Calibri"/>
          <w:sz w:val="18"/>
          <w:szCs w:val="18"/>
          <w:lang w:eastAsia="it-IT"/>
        </w:rPr>
        <w:t>»</w:t>
      </w:r>
    </w:p>
    <w:p w14:paraId="22369A60" w14:textId="77777777" w:rsidR="00276DF7" w:rsidRDefault="00276DF7" w:rsidP="00276DF7">
      <w:pPr>
        <w:widowControl w:val="0"/>
        <w:shd w:val="clear" w:color="auto" w:fill="F2F2F2" w:themeFill="background1" w:themeFillShade="F2"/>
        <w:rPr>
          <w:rFonts w:ascii="Titillium" w:hAnsi="Titillium" w:cs="Calibri"/>
          <w:sz w:val="18"/>
          <w:szCs w:val="18"/>
          <w:lang w:eastAsia="it-IT"/>
        </w:rPr>
      </w:pPr>
    </w:p>
    <w:p w14:paraId="23CD18B0" w14:textId="77777777" w:rsidR="00276DF7" w:rsidRDefault="00276DF7" w:rsidP="00276DF7">
      <w:pPr>
        <w:pStyle w:val="Paragrafoelenco"/>
        <w:widowControl w:val="0"/>
        <w:numPr>
          <w:ilvl w:val="0"/>
          <w:numId w:val="9"/>
        </w:numPr>
        <w:shd w:val="clear" w:color="auto" w:fill="F2F2F2" w:themeFill="background1" w:themeFillShade="F2"/>
        <w:spacing w:before="60" w:after="60"/>
        <w:ind w:left="284" w:hanging="284"/>
        <w:rPr>
          <w:rFonts w:ascii="Titillium" w:hAnsi="Titillium" w:cs="Calibri"/>
          <w:b/>
          <w:smallCaps/>
          <w:sz w:val="18"/>
          <w:szCs w:val="18"/>
        </w:rPr>
      </w:pPr>
      <w:bookmarkStart w:id="46" w:name="_Toc481159797"/>
      <w:bookmarkStart w:id="47" w:name="_Toc481159740"/>
      <w:bookmarkStart w:id="48" w:name="_Toc481159694"/>
      <w:bookmarkStart w:id="49" w:name="_Toc481159355"/>
      <w:bookmarkStart w:id="50" w:name="_Toc481158959"/>
      <w:bookmarkStart w:id="51" w:name="_Toc481159994"/>
      <w:bookmarkStart w:id="52" w:name="_Toc481159849"/>
      <w:bookmarkStart w:id="53" w:name="_Toc416423349"/>
      <w:bookmarkStart w:id="54" w:name="_Toc406754163"/>
      <w:bookmarkStart w:id="55" w:name="_Toc406058363"/>
      <w:bookmarkStart w:id="56" w:name="_Toc403471257"/>
      <w:bookmarkStart w:id="57" w:name="_Toc397422850"/>
      <w:bookmarkStart w:id="58" w:name="_Toc397346809"/>
      <w:bookmarkStart w:id="59" w:name="_Toc393706894"/>
      <w:bookmarkStart w:id="60" w:name="_Toc393700821"/>
      <w:bookmarkStart w:id="61" w:name="_Toc393283162"/>
      <w:bookmarkStart w:id="62" w:name="_Toc393272646"/>
      <w:bookmarkStart w:id="63" w:name="_Toc393272588"/>
      <w:bookmarkStart w:id="64" w:name="_Toc393187832"/>
      <w:bookmarkStart w:id="65" w:name="_Toc393112113"/>
      <w:bookmarkStart w:id="66" w:name="_Toc393110549"/>
      <w:bookmarkStart w:id="67" w:name="_Toc392577482"/>
      <w:bookmarkStart w:id="68" w:name="_Toc391036042"/>
      <w:bookmarkStart w:id="69" w:name="_Toc391035969"/>
      <w:bookmarkStart w:id="70" w:name="_Toc380501857"/>
      <w:bookmarkEnd w:id="46"/>
      <w:bookmarkEnd w:id="47"/>
      <w:bookmarkEnd w:id="48"/>
      <w:bookmarkEnd w:id="49"/>
      <w:bookmarkEnd w:id="50"/>
      <w:bookmarkEnd w:id="51"/>
      <w:bookmarkEnd w:id="52"/>
      <w:r>
        <w:rPr>
          <w:rFonts w:ascii="Titillium" w:hAnsi="Titillium" w:cs="Calibri"/>
          <w:b/>
          <w:smallCaps/>
          <w:sz w:val="18"/>
          <w:szCs w:val="18"/>
        </w:rPr>
        <w:t>parti eventuali e facoltative</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E38DA2D" w14:textId="77777777" w:rsidR="00276DF7" w:rsidRDefault="00276DF7" w:rsidP="00276DF7">
      <w:pPr>
        <w:widowControl w:val="0"/>
        <w:shd w:val="clear" w:color="auto" w:fill="F2F2F2" w:themeFill="background1" w:themeFillShade="F2"/>
        <w:spacing w:before="60"/>
      </w:pPr>
      <w:r>
        <w:rPr>
          <w:rFonts w:ascii="Titillium" w:hAnsi="Titillium" w:cs="Calibri"/>
          <w:sz w:val="18"/>
          <w:szCs w:val="18"/>
          <w:lang w:eastAsia="it-IT"/>
        </w:rPr>
        <w:t xml:space="preserve">Le clausole eventuali e facoltative sono precedute da espressioni quali </w:t>
      </w:r>
      <w:r>
        <w:rPr>
          <w:rFonts w:ascii="Titillium" w:hAnsi="Titillium" w:cs="Calibri"/>
          <w:b/>
          <w:i/>
          <w:sz w:val="18"/>
          <w:szCs w:val="18"/>
          <w:lang w:eastAsia="it-IT"/>
        </w:rPr>
        <w:t>[</w:t>
      </w:r>
      <w:r>
        <w:rPr>
          <w:rFonts w:ascii="Titillium" w:hAnsi="Titillium" w:cs="Calibri"/>
          <w:b/>
          <w:i/>
          <w:sz w:val="18"/>
          <w:szCs w:val="18"/>
        </w:rPr>
        <w:t>Facoltativo</w:t>
      </w:r>
      <w:r>
        <w:rPr>
          <w:rFonts w:ascii="Titillium" w:hAnsi="Titillium" w:cs="Calibri"/>
          <w:b/>
          <w:i/>
          <w:sz w:val="18"/>
          <w:szCs w:val="18"/>
          <w:lang w:eastAsia="it-IT"/>
        </w:rPr>
        <w:t>]</w:t>
      </w:r>
      <w:r>
        <w:rPr>
          <w:rFonts w:ascii="Titillium" w:hAnsi="Titillium" w:cs="Calibri"/>
          <w:i/>
          <w:sz w:val="18"/>
          <w:szCs w:val="18"/>
          <w:lang w:eastAsia="it-IT"/>
        </w:rPr>
        <w:t>,</w:t>
      </w:r>
      <w:r>
        <w:rPr>
          <w:rFonts w:ascii="Titillium" w:hAnsi="Titillium" w:cs="Calibri"/>
          <w:b/>
          <w:i/>
          <w:sz w:val="18"/>
          <w:szCs w:val="18"/>
          <w:lang w:eastAsia="it-IT"/>
        </w:rPr>
        <w:t xml:space="preserve"> [Se richiesto…],</w:t>
      </w:r>
      <w:r>
        <w:rPr>
          <w:rFonts w:ascii="Titillium" w:hAnsi="Titillium" w:cs="Calibri"/>
          <w:sz w:val="18"/>
          <w:szCs w:val="18"/>
        </w:rPr>
        <w:t xml:space="preserve"> </w:t>
      </w:r>
      <w:r>
        <w:rPr>
          <w:rFonts w:ascii="Titillium" w:hAnsi="Titillium" w:cs="Calibri"/>
          <w:b/>
          <w:i/>
          <w:sz w:val="18"/>
          <w:szCs w:val="18"/>
        </w:rPr>
        <w:t>[</w:t>
      </w:r>
      <w:r>
        <w:rPr>
          <w:rFonts w:ascii="Titillium" w:hAnsi="Titillium" w:cs="Calibri"/>
          <w:b/>
          <w:i/>
          <w:sz w:val="18"/>
          <w:szCs w:val="18"/>
          <w:lang w:eastAsia="it-IT"/>
        </w:rPr>
        <w:t>In caso di …]</w:t>
      </w:r>
      <w:r>
        <w:rPr>
          <w:rFonts w:ascii="Titillium" w:hAnsi="Titillium" w:cs="Calibri"/>
          <w:i/>
          <w:sz w:val="18"/>
          <w:szCs w:val="18"/>
          <w:lang w:eastAsia="it-IT"/>
        </w:rPr>
        <w:t xml:space="preserve"> </w:t>
      </w:r>
      <w:r>
        <w:rPr>
          <w:rFonts w:ascii="Titillium" w:hAnsi="Titillium" w:cs="Calibri"/>
          <w:sz w:val="18"/>
          <w:szCs w:val="18"/>
          <w:lang w:eastAsia="it-IT"/>
        </w:rPr>
        <w:t>etc. La stazione appaltante sceglie se inserire o meno la clausola.</w:t>
      </w:r>
    </w:p>
    <w:p w14:paraId="3616B9B4" w14:textId="77777777" w:rsidR="00276DF7" w:rsidRDefault="00276DF7" w:rsidP="00276DF7">
      <w:pPr>
        <w:widowControl w:val="0"/>
        <w:shd w:val="clear" w:color="auto" w:fill="F2F2F2" w:themeFill="background1" w:themeFillShade="F2"/>
        <w:rPr>
          <w:rFonts w:ascii="Titillium" w:hAnsi="Titillium" w:cs="Calibri"/>
          <w:sz w:val="18"/>
          <w:szCs w:val="18"/>
          <w:lang w:eastAsia="it-IT"/>
        </w:rPr>
      </w:pPr>
      <w:r>
        <w:rPr>
          <w:rFonts w:ascii="Titillium" w:hAnsi="Titillium" w:cs="Calibri"/>
          <w:sz w:val="18"/>
          <w:szCs w:val="18"/>
          <w:lang w:eastAsia="it-IT"/>
        </w:rPr>
        <w:t xml:space="preserve">Ad esempio:  </w:t>
      </w:r>
    </w:p>
    <w:p w14:paraId="20DF0190" w14:textId="77777777" w:rsidR="00276DF7" w:rsidRPr="00E64307" w:rsidRDefault="00276DF7" w:rsidP="00276DF7">
      <w:pPr>
        <w:shd w:val="clear" w:color="auto" w:fill="F2F2F2" w:themeFill="background1" w:themeFillShade="F2"/>
        <w:spacing w:before="120" w:after="60"/>
        <w:rPr>
          <w:rFonts w:ascii="Titillium" w:hAnsi="Titillium" w:cs="Calibri"/>
          <w:sz w:val="18"/>
          <w:szCs w:val="18"/>
        </w:rPr>
      </w:pPr>
      <w:r w:rsidRPr="00E64307">
        <w:rPr>
          <w:rFonts w:ascii="Titillium" w:hAnsi="Titillium" w:cs="Arial"/>
          <w:b/>
          <w:i/>
          <w:sz w:val="18"/>
          <w:szCs w:val="18"/>
        </w:rPr>
        <w:t>[</w:t>
      </w:r>
      <w:r>
        <w:rPr>
          <w:rFonts w:ascii="Titillium" w:hAnsi="Titillium" w:cs="Arial"/>
          <w:b/>
          <w:bCs/>
          <w:i/>
          <w:sz w:val="18"/>
          <w:szCs w:val="18"/>
        </w:rPr>
        <w:t>In caso di</w:t>
      </w:r>
      <w:r w:rsidRPr="00E64307">
        <w:rPr>
          <w:rFonts w:ascii="Titillium" w:hAnsi="Titillium" w:cs="Arial"/>
          <w:b/>
          <w:bCs/>
          <w:i/>
          <w:sz w:val="18"/>
          <w:szCs w:val="18"/>
        </w:rPr>
        <w:t xml:space="preserve"> protocollo di legalità/patto di integrità</w:t>
      </w:r>
      <w:r w:rsidRPr="00E64307">
        <w:rPr>
          <w:rFonts w:ascii="Titillium" w:hAnsi="Titillium" w:cs="Arial"/>
          <w:b/>
          <w:i/>
          <w:sz w:val="18"/>
          <w:szCs w:val="18"/>
        </w:rPr>
        <w:t>]</w:t>
      </w:r>
      <w:r w:rsidRPr="00E64307">
        <w:rPr>
          <w:rFonts w:ascii="Titillium" w:hAnsi="Titillium" w:cs="Arial"/>
          <w:sz w:val="18"/>
          <w:szCs w:val="18"/>
        </w:rPr>
        <w:t xml:space="preserve"> La mancata accettazione delle clausole contenute nel protocollo di legalità/patto di integrità e il mancato rispetto dello stesso costituiscono causa di </w:t>
      </w:r>
      <w:r w:rsidRPr="00E64307">
        <w:rPr>
          <w:rFonts w:ascii="Titillium" w:hAnsi="Titillium" w:cs="Arial"/>
          <w:bCs/>
          <w:sz w:val="18"/>
          <w:szCs w:val="18"/>
        </w:rPr>
        <w:t xml:space="preserve">esclusione </w:t>
      </w:r>
      <w:r w:rsidRPr="00E64307">
        <w:rPr>
          <w:rFonts w:ascii="Titillium" w:hAnsi="Titillium" w:cs="Arial"/>
          <w:sz w:val="18"/>
          <w:szCs w:val="18"/>
        </w:rPr>
        <w:t>dalla gara, ai sensi dell’articolo 83 bis del decreto legislativo n. 159/2011.</w:t>
      </w:r>
      <w:r w:rsidRPr="00E64307">
        <w:rPr>
          <w:rFonts w:ascii="Titillium" w:hAnsi="Titillium" w:cs="Calibri"/>
          <w:sz w:val="18"/>
          <w:szCs w:val="18"/>
        </w:rPr>
        <w:t xml:space="preserve"> </w:t>
      </w:r>
    </w:p>
    <w:p w14:paraId="264BBC9E" w14:textId="77777777" w:rsidR="00276DF7" w:rsidRDefault="00276DF7" w:rsidP="00276DF7">
      <w:pPr>
        <w:widowControl w:val="0"/>
        <w:shd w:val="clear" w:color="auto" w:fill="F2F2F2" w:themeFill="background1" w:themeFillShade="F2"/>
        <w:spacing w:before="60" w:after="60"/>
        <w:ind w:right="425"/>
        <w:rPr>
          <w:rFonts w:ascii="Titillium" w:hAnsi="Titillium" w:cs="Calibri"/>
          <w:b/>
          <w:i/>
        </w:rPr>
      </w:pPr>
    </w:p>
    <w:p w14:paraId="428FC1EE" w14:textId="77777777" w:rsidR="00276DF7" w:rsidRDefault="00276DF7" w:rsidP="00276DF7">
      <w:pPr>
        <w:pStyle w:val="Paragrafoelenco"/>
        <w:widowControl w:val="0"/>
        <w:numPr>
          <w:ilvl w:val="0"/>
          <w:numId w:val="9"/>
        </w:numPr>
        <w:shd w:val="clear" w:color="auto" w:fill="F2F2F2" w:themeFill="background1" w:themeFillShade="F2"/>
        <w:spacing w:before="60" w:after="60"/>
        <w:ind w:left="284" w:hanging="284"/>
        <w:rPr>
          <w:rFonts w:ascii="Titillium" w:hAnsi="Titillium" w:cs="Calibri"/>
          <w:b/>
          <w:smallCaps/>
          <w:sz w:val="18"/>
          <w:szCs w:val="18"/>
        </w:rPr>
      </w:pPr>
      <w:bookmarkStart w:id="71" w:name="_Toc406058364"/>
      <w:bookmarkStart w:id="72" w:name="_Toc403471258"/>
      <w:bookmarkStart w:id="73" w:name="_Toc397422851"/>
      <w:bookmarkStart w:id="74" w:name="_Toc397346810"/>
      <w:bookmarkStart w:id="75" w:name="_Toc393706895"/>
      <w:bookmarkStart w:id="76" w:name="_Toc393700822"/>
      <w:bookmarkStart w:id="77" w:name="_Toc393283163"/>
      <w:bookmarkStart w:id="78" w:name="_Toc393272647"/>
      <w:bookmarkStart w:id="79" w:name="_Toc393272589"/>
      <w:bookmarkStart w:id="80" w:name="_Toc393187833"/>
      <w:bookmarkStart w:id="81" w:name="_Toc393112114"/>
      <w:bookmarkStart w:id="82" w:name="_Toc393110550"/>
      <w:bookmarkStart w:id="83" w:name="_Toc392577483"/>
      <w:bookmarkStart w:id="84" w:name="_Toc391036043"/>
      <w:bookmarkStart w:id="85" w:name="_Toc391035970"/>
      <w:bookmarkStart w:id="86" w:name="_Toc380501858"/>
      <w:bookmarkStart w:id="87" w:name="_Toc416423350"/>
      <w:bookmarkStart w:id="88" w:name="_Toc406754164"/>
      <w:r>
        <w:rPr>
          <w:rFonts w:ascii="Titillium" w:hAnsi="Titillium" w:cs="Calibri"/>
          <w:b/>
          <w:smallCaps/>
          <w:sz w:val="18"/>
          <w:szCs w:val="18"/>
        </w:rPr>
        <w:t>parti vincolanti</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00F9AB5" w14:textId="77777777" w:rsidR="00276DF7" w:rsidRDefault="00276DF7" w:rsidP="00276DF7">
      <w:pPr>
        <w:widowControl w:val="0"/>
        <w:shd w:val="clear" w:color="auto" w:fill="F2F2F2" w:themeFill="background1" w:themeFillShade="F2"/>
        <w:spacing w:before="60" w:after="60"/>
        <w:rPr>
          <w:rFonts w:ascii="Titillium" w:hAnsi="Titillium" w:cs="Calibri"/>
          <w:sz w:val="18"/>
          <w:szCs w:val="18"/>
        </w:rPr>
      </w:pPr>
      <w:bookmarkStart w:id="89" w:name="_Toc406754165"/>
      <w:r w:rsidRPr="00DC299E">
        <w:rPr>
          <w:rFonts w:ascii="Titillium" w:hAnsi="Titillium" w:cs="Calibri"/>
          <w:sz w:val="18"/>
          <w:szCs w:val="18"/>
        </w:rPr>
        <w:t>Le restanti parti sono vincolanti.</w:t>
      </w:r>
      <w:bookmarkEnd w:id="89"/>
    </w:p>
    <w:p w14:paraId="11AEE407" w14:textId="77777777" w:rsidR="00276DF7" w:rsidRDefault="00276DF7" w:rsidP="00276DF7">
      <w:pPr>
        <w:widowControl w:val="0"/>
        <w:shd w:val="clear" w:color="auto" w:fill="F2F2F2" w:themeFill="background1" w:themeFillShade="F2"/>
        <w:spacing w:before="60" w:after="60"/>
        <w:rPr>
          <w:rFonts w:ascii="Titillium" w:hAnsi="Titillium" w:cs="Calibri"/>
          <w:sz w:val="18"/>
          <w:szCs w:val="18"/>
        </w:rPr>
      </w:pPr>
    </w:p>
    <w:p w14:paraId="7D6EA4F3" w14:textId="77777777" w:rsidR="00276DF7" w:rsidRDefault="00276DF7" w:rsidP="00276DF7">
      <w:pPr>
        <w:pStyle w:val="Paragrafoelenco"/>
        <w:widowControl w:val="0"/>
        <w:numPr>
          <w:ilvl w:val="0"/>
          <w:numId w:val="9"/>
        </w:numPr>
        <w:shd w:val="clear" w:color="auto" w:fill="F2F2F2" w:themeFill="background1" w:themeFillShade="F2"/>
        <w:spacing w:before="60" w:after="60"/>
        <w:ind w:left="284" w:hanging="284"/>
        <w:rPr>
          <w:rFonts w:ascii="Titillium" w:hAnsi="Titillium" w:cs="Calibri"/>
          <w:b/>
          <w:smallCaps/>
          <w:sz w:val="18"/>
          <w:szCs w:val="18"/>
        </w:rPr>
      </w:pPr>
      <w:bookmarkStart w:id="90" w:name="_Toc481159801"/>
      <w:bookmarkStart w:id="91" w:name="_Toc481159744"/>
      <w:bookmarkStart w:id="92" w:name="_Toc481159698"/>
      <w:bookmarkStart w:id="93" w:name="_Toc481159359"/>
      <w:bookmarkStart w:id="94" w:name="_Toc481158964"/>
      <w:bookmarkStart w:id="95" w:name="_Toc481159998"/>
      <w:bookmarkStart w:id="96" w:name="_Toc481159853"/>
      <w:bookmarkEnd w:id="90"/>
      <w:bookmarkEnd w:id="91"/>
      <w:bookmarkEnd w:id="92"/>
      <w:bookmarkEnd w:id="93"/>
      <w:bookmarkEnd w:id="94"/>
      <w:bookmarkEnd w:id="95"/>
      <w:bookmarkEnd w:id="96"/>
      <w:r>
        <w:rPr>
          <w:rFonts w:ascii="Titillium" w:hAnsi="Titillium" w:cs="Calibri"/>
          <w:b/>
          <w:smallCaps/>
          <w:sz w:val="18"/>
          <w:szCs w:val="18"/>
        </w:rPr>
        <w:t>indicazioni operative</w:t>
      </w:r>
    </w:p>
    <w:p w14:paraId="18BAF843" w14:textId="77777777" w:rsidR="00276DF7" w:rsidRDefault="00276DF7" w:rsidP="00276DF7">
      <w:pPr>
        <w:widowControl w:val="0"/>
        <w:shd w:val="clear" w:color="auto" w:fill="F2F2F2" w:themeFill="background1" w:themeFillShade="F2"/>
        <w:spacing w:before="60" w:after="60"/>
      </w:pPr>
      <w:r>
        <w:rPr>
          <w:rFonts w:ascii="Titillium" w:hAnsi="Titillium" w:cs="Calibri"/>
          <w:sz w:val="18"/>
          <w:szCs w:val="18"/>
        </w:rPr>
        <w:t xml:space="preserve">In appositi riquadri contrassegnati dall’annotazione </w:t>
      </w:r>
      <w:r>
        <w:rPr>
          <w:rFonts w:ascii="Titillium" w:hAnsi="Titillium" w:cs="Calibri"/>
          <w:i/>
          <w:sz w:val="18"/>
          <w:szCs w:val="18"/>
          <w:bdr w:val="single" w:sz="4" w:space="0" w:color="000000"/>
        </w:rPr>
        <w:t xml:space="preserve">N.B.: ... </w:t>
      </w:r>
      <w:r>
        <w:rPr>
          <w:rFonts w:ascii="Titillium" w:hAnsi="Titillium" w:cs="Calibri"/>
          <w:sz w:val="18"/>
          <w:szCs w:val="18"/>
        </w:rPr>
        <w:t xml:space="preserve"> sono fornite indicazioni operative utili alla stazione appaltante per la stesura del disciplinare. Tali riquadri andranno omessi nel disciplinare compilato dalla stazione appaltante.</w:t>
      </w:r>
    </w:p>
    <w:p w14:paraId="57D2F117" w14:textId="77777777" w:rsidR="00276DF7" w:rsidRDefault="00276DF7" w:rsidP="00276DF7">
      <w:pPr>
        <w:widowControl w:val="0"/>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Ad esempio:</w:t>
      </w:r>
    </w:p>
    <w:p w14:paraId="5277D586" w14:textId="77777777" w:rsidR="00276DF7" w:rsidRPr="00D95F9F"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Arial"/>
          <w:i/>
          <w:iCs/>
          <w:sz w:val="18"/>
          <w:szCs w:val="18"/>
        </w:rPr>
      </w:pPr>
      <w:r w:rsidRPr="00D95F9F">
        <w:rPr>
          <w:rFonts w:ascii="Titillium" w:hAnsi="Titillium" w:cs="Calibri"/>
          <w:i/>
          <w:iCs/>
          <w:sz w:val="18"/>
          <w:szCs w:val="18"/>
        </w:rPr>
        <w:t xml:space="preserve">N.B.: </w:t>
      </w:r>
      <w:r w:rsidRPr="00D95F9F">
        <w:rPr>
          <w:rFonts w:ascii="Titillium" w:hAnsi="Titillium" w:cs="Arial"/>
          <w:i/>
          <w:iCs/>
          <w:sz w:val="18"/>
          <w:szCs w:val="18"/>
        </w:rPr>
        <w:t>I requisiti speciali per partecipare alla gara devono essere elencati esclusivamente nel disciplinare e non contenuti in altri documenti di gara.</w:t>
      </w:r>
    </w:p>
    <w:p w14:paraId="5A474B2C" w14:textId="77777777" w:rsidR="00276DF7" w:rsidRPr="00D95F9F"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iCs/>
          <w:sz w:val="18"/>
          <w:szCs w:val="18"/>
        </w:rPr>
      </w:pPr>
      <w:r w:rsidRPr="00D95F9F">
        <w:rPr>
          <w:rFonts w:ascii="Titillium" w:hAnsi="Titillium" w:cs="Arial"/>
          <w:i/>
          <w:iCs/>
          <w:sz w:val="18"/>
          <w:szCs w:val="18"/>
        </w:rPr>
        <w:lastRenderedPageBreak/>
        <w:t>In caso di suddivisione della gara in lotti, le stazioni appaltanti specificano per ciascun requisito speciale per quale lotto è richiesto.</w:t>
      </w:r>
    </w:p>
    <w:p w14:paraId="7C1BBA7C" w14:textId="77777777" w:rsidR="00276DF7" w:rsidRDefault="00276DF7" w:rsidP="00276DF7">
      <w:pPr>
        <w:widowControl w:val="0"/>
        <w:shd w:val="clear" w:color="auto" w:fill="F2F2F2" w:themeFill="background1" w:themeFillShade="F2"/>
        <w:spacing w:before="60" w:after="60"/>
        <w:rPr>
          <w:rFonts w:ascii="Titillium" w:hAnsi="Titillium" w:cs="Calibri"/>
          <w:sz w:val="18"/>
          <w:szCs w:val="18"/>
        </w:rPr>
      </w:pPr>
    </w:p>
    <w:p w14:paraId="4ECE2FA4" w14:textId="77777777" w:rsidR="00276DF7" w:rsidRDefault="00276DF7" w:rsidP="00276DF7">
      <w:pPr>
        <w:widowControl w:val="0"/>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Talvolta sono fornite, tra parentesi quadre, ulteriori indicazioni operative che andranno omesse nel disciplinare compilato dalla stazione appaltante. </w:t>
      </w:r>
    </w:p>
    <w:p w14:paraId="57068583" w14:textId="77777777" w:rsidR="00276DF7" w:rsidRDefault="00276DF7" w:rsidP="00276DF7">
      <w:pPr>
        <w:widowControl w:val="0"/>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Ad esempio:</w:t>
      </w:r>
    </w:p>
    <w:p w14:paraId="303CD1C0" w14:textId="77777777" w:rsidR="00276DF7" w:rsidRDefault="00276DF7" w:rsidP="00276DF7">
      <w:pPr>
        <w:widowControl w:val="0"/>
        <w:shd w:val="clear" w:color="auto" w:fill="F2F2F2" w:themeFill="background1" w:themeFillShade="F2"/>
        <w:spacing w:before="60" w:after="60"/>
      </w:pPr>
      <w:r>
        <w:rPr>
          <w:rFonts w:ascii="Titillium" w:hAnsi="Titillium"/>
          <w:i/>
          <w:sz w:val="18"/>
          <w:szCs w:val="18"/>
        </w:rPr>
        <w:t>«</w:t>
      </w:r>
      <w:r w:rsidRPr="00B03E29">
        <w:rPr>
          <w:rFonts w:ascii="Titillium" w:hAnsi="Titillium"/>
          <w:iCs/>
          <w:sz w:val="18"/>
          <w:szCs w:val="18"/>
        </w:rPr>
        <w:t>La documentazione di gara è accessibile gratuitamente, sul sito istituzionale della stazione appaltante, nella sezione “Amministrazione trasparente”, al seguente link: ...</w:t>
      </w:r>
      <w:r w:rsidRPr="00B03E29">
        <w:rPr>
          <w:rFonts w:ascii="Titillium" w:hAnsi="Titillium"/>
          <w:i/>
          <w:sz w:val="18"/>
          <w:szCs w:val="18"/>
        </w:rPr>
        <w:t xml:space="preserve"> [indicare il link dal quale è possibile consultare la documentazione] </w:t>
      </w:r>
      <w:r w:rsidRPr="00B03E29">
        <w:rPr>
          <w:rFonts w:ascii="Titillium" w:hAnsi="Titillium"/>
          <w:iCs/>
          <w:sz w:val="18"/>
          <w:szCs w:val="18"/>
        </w:rPr>
        <w:t>e sulla Piattaforma …</w:t>
      </w:r>
      <w:r w:rsidRPr="00B03E29">
        <w:rPr>
          <w:rFonts w:ascii="Titillium" w:hAnsi="Titillium"/>
          <w:i/>
          <w:sz w:val="18"/>
          <w:szCs w:val="18"/>
        </w:rPr>
        <w:t xml:space="preserve"> [indicare l’apposita sezione].</w:t>
      </w:r>
      <w:r>
        <w:rPr>
          <w:rFonts w:ascii="Titillium" w:hAnsi="Titillium"/>
          <w:sz w:val="18"/>
          <w:szCs w:val="18"/>
        </w:rPr>
        <w:t>».</w:t>
      </w:r>
    </w:p>
    <w:p w14:paraId="28478074" w14:textId="77777777" w:rsidR="00276DF7" w:rsidRDefault="00276DF7" w:rsidP="00276DF7">
      <w:pPr>
        <w:shd w:val="clear" w:color="auto" w:fill="F2F2F2" w:themeFill="background1" w:themeFillShade="F2"/>
        <w:spacing w:before="60" w:after="60"/>
        <w:rPr>
          <w:rFonts w:ascii="Titillium" w:hAnsi="Titillium" w:cs="Calibri"/>
          <w:b/>
        </w:rPr>
      </w:pPr>
      <w:r>
        <w:br w:type="page"/>
      </w:r>
    </w:p>
    <w:p w14:paraId="5A17A37A" w14:textId="77777777" w:rsidR="00276DF7" w:rsidRDefault="00276DF7" w:rsidP="00276DF7">
      <w:pPr>
        <w:pStyle w:val="Titolo1"/>
        <w:shd w:val="clear" w:color="auto" w:fill="F2F2F2" w:themeFill="background1" w:themeFillShade="F2"/>
        <w:spacing w:before="60" w:after="60"/>
        <w:rPr>
          <w:rFonts w:ascii="Titillium" w:hAnsi="Titillium"/>
          <w:sz w:val="18"/>
          <w:szCs w:val="18"/>
        </w:rPr>
      </w:pPr>
      <w:bookmarkStart w:id="97" w:name="_Toc391036044"/>
      <w:bookmarkStart w:id="98" w:name="_Toc392577486"/>
      <w:bookmarkStart w:id="99" w:name="_Toc393110553"/>
      <w:bookmarkStart w:id="100" w:name="_Toc393112117"/>
      <w:bookmarkStart w:id="101" w:name="_Toc485638580"/>
      <w:bookmarkStart w:id="102" w:name="_Toc380501859"/>
      <w:bookmarkStart w:id="103" w:name="_Toc391035971"/>
      <w:bookmarkStart w:id="104" w:name="_Toc139549407"/>
      <w:r>
        <w:rPr>
          <w:rFonts w:ascii="Titillium" w:hAnsi="Titillium"/>
          <w:sz w:val="18"/>
          <w:szCs w:val="18"/>
        </w:rPr>
        <w:t>DISCIPLINARE DI GARA</w:t>
      </w:r>
      <w:bookmarkEnd w:id="97"/>
      <w:bookmarkEnd w:id="98"/>
      <w:bookmarkEnd w:id="99"/>
      <w:bookmarkEnd w:id="100"/>
      <w:bookmarkEnd w:id="101"/>
      <w:bookmarkEnd w:id="102"/>
      <w:bookmarkEnd w:id="103"/>
      <w:bookmarkEnd w:id="104"/>
    </w:p>
    <w:p w14:paraId="57E76825" w14:textId="77777777" w:rsidR="00276DF7" w:rsidRDefault="00276DF7" w:rsidP="00276DF7">
      <w:pPr>
        <w:shd w:val="clear" w:color="auto" w:fill="F2F2F2" w:themeFill="background1" w:themeFillShade="F2"/>
        <w:spacing w:before="60" w:after="60"/>
        <w:jc w:val="center"/>
      </w:pPr>
      <w:r>
        <w:rPr>
          <w:rFonts w:ascii="Titillium" w:hAnsi="Titillium" w:cs="Calibri"/>
          <w:b/>
          <w:sz w:val="18"/>
          <w:szCs w:val="18"/>
          <w:lang w:eastAsia="it-IT"/>
        </w:rPr>
        <w:t>GARA EUROPEA A PROCEDURA APERTA PER L’APPALTO DI …</w:t>
      </w:r>
      <w:r>
        <w:rPr>
          <w:rFonts w:ascii="Titillium" w:hAnsi="Titillium" w:cs="Calibri"/>
          <w:i/>
          <w:sz w:val="18"/>
          <w:szCs w:val="18"/>
          <w:lang w:eastAsia="it-IT"/>
        </w:rPr>
        <w:t xml:space="preserve"> [sintetica descrizione dei servizi/forniture oggetto dell’appalto]</w:t>
      </w:r>
    </w:p>
    <w:p w14:paraId="639331B3" w14:textId="77777777" w:rsidR="00276DF7" w:rsidRDefault="00276DF7" w:rsidP="00276DF7">
      <w:pPr>
        <w:pStyle w:val="Titolo2"/>
        <w:shd w:val="clear" w:color="auto" w:fill="F2F2F2" w:themeFill="background1" w:themeFillShade="F2"/>
        <w:rPr>
          <w:rFonts w:ascii="Titillium" w:hAnsi="Titillium"/>
          <w:sz w:val="18"/>
          <w:szCs w:val="18"/>
        </w:rPr>
      </w:pPr>
      <w:bookmarkStart w:id="105" w:name="_Toc482101906"/>
      <w:bookmarkStart w:id="106" w:name="_Toc482101812"/>
      <w:bookmarkStart w:id="107" w:name="_Toc482101719"/>
      <w:bookmarkStart w:id="108" w:name="_Toc482101544"/>
      <w:bookmarkStart w:id="109" w:name="_Toc482101429"/>
      <w:bookmarkStart w:id="110" w:name="_Toc374026426"/>
      <w:bookmarkStart w:id="111" w:name="_Toc374025981"/>
      <w:bookmarkStart w:id="112" w:name="_Toc374025928"/>
      <w:bookmarkStart w:id="113" w:name="_Toc374025834"/>
      <w:bookmarkStart w:id="114" w:name="_Toc374025745"/>
      <w:bookmarkStart w:id="115" w:name="_Toc498419717"/>
      <w:bookmarkStart w:id="116" w:name="_Toc497831525"/>
      <w:bookmarkStart w:id="117" w:name="_Toc497728131"/>
      <w:bookmarkStart w:id="118" w:name="_Toc497484933"/>
      <w:bookmarkStart w:id="119" w:name="_Toc494359015"/>
      <w:bookmarkStart w:id="120" w:name="_Toc494358966"/>
      <w:bookmarkStart w:id="121" w:name="_Toc493500868"/>
      <w:bookmarkStart w:id="122" w:name="_Toc498419716"/>
      <w:bookmarkStart w:id="123" w:name="_Toc497831524"/>
      <w:bookmarkStart w:id="124" w:name="_Toc497728130"/>
      <w:bookmarkStart w:id="125" w:name="_Toc497484932"/>
      <w:bookmarkStart w:id="126" w:name="_Toc494359014"/>
      <w:bookmarkStart w:id="127" w:name="_Toc494358965"/>
      <w:bookmarkStart w:id="128" w:name="_Toc493500867"/>
      <w:bookmarkStart w:id="129" w:name="_Toc482102096"/>
      <w:bookmarkStart w:id="130" w:name="_Toc482102001"/>
      <w:bookmarkStart w:id="131" w:name="_Toc139549408"/>
      <w:bookmarkStart w:id="132" w:name="_Toc391036046"/>
      <w:bookmarkStart w:id="133" w:name="_Toc391035973"/>
      <w:bookmarkStart w:id="134" w:name="_Toc380501861"/>
      <w:bookmarkStart w:id="135" w:name="_Toc354038170"/>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tillium" w:hAnsi="Titillium"/>
          <w:sz w:val="18"/>
          <w:szCs w:val="18"/>
        </w:rPr>
        <w:t>PREMESSE</w:t>
      </w:r>
      <w:bookmarkEnd w:id="131"/>
    </w:p>
    <w:p w14:paraId="20E68D33" w14:textId="77777777" w:rsidR="00276DF7" w:rsidRDefault="00276DF7" w:rsidP="00276DF7">
      <w:pPr>
        <w:shd w:val="clear" w:color="auto" w:fill="F2F2F2" w:themeFill="background1" w:themeFillShade="F2"/>
        <w:spacing w:before="60" w:after="60"/>
      </w:pPr>
      <w:r>
        <w:rPr>
          <w:rFonts w:ascii="Titillium" w:hAnsi="Titillium" w:cs="Calibri"/>
          <w:bCs/>
          <w:iCs/>
          <w:sz w:val="18"/>
          <w:szCs w:val="18"/>
        </w:rPr>
        <w:t xml:space="preserve">Con atto n. ... </w:t>
      </w:r>
      <w:r w:rsidRPr="00352F6C">
        <w:rPr>
          <w:rFonts w:ascii="Titillium" w:hAnsi="Titillium" w:cs="Calibri"/>
          <w:bCs/>
          <w:i/>
          <w:iCs/>
          <w:sz w:val="18"/>
          <w:szCs w:val="18"/>
        </w:rPr>
        <w:t>[</w:t>
      </w:r>
      <w:r>
        <w:rPr>
          <w:rFonts w:ascii="Titillium" w:hAnsi="Titillium" w:cs="Calibri"/>
          <w:bCs/>
          <w:i/>
          <w:iCs/>
          <w:sz w:val="18"/>
          <w:szCs w:val="18"/>
        </w:rPr>
        <w:t>specificare il tipo di atto</w:t>
      </w:r>
      <w:r w:rsidRPr="00352F6C">
        <w:rPr>
          <w:rFonts w:ascii="Titillium" w:hAnsi="Titillium" w:cs="Calibri"/>
          <w:bCs/>
          <w:i/>
          <w:iCs/>
          <w:sz w:val="18"/>
          <w:szCs w:val="18"/>
        </w:rPr>
        <w:t>]</w:t>
      </w:r>
      <w:r>
        <w:rPr>
          <w:rFonts w:ascii="Titillium" w:hAnsi="Titillium" w:cs="Calibri"/>
          <w:bCs/>
          <w:i/>
          <w:iCs/>
          <w:sz w:val="18"/>
          <w:szCs w:val="18"/>
        </w:rPr>
        <w:t xml:space="preserve"> </w:t>
      </w:r>
      <w:r>
        <w:rPr>
          <w:rFonts w:ascii="Titillium" w:hAnsi="Titillium" w:cs="Calibri"/>
          <w:bCs/>
          <w:iCs/>
          <w:sz w:val="18"/>
          <w:szCs w:val="18"/>
        </w:rPr>
        <w:t xml:space="preserve">del … </w:t>
      </w:r>
      <w:r w:rsidRPr="00352F6C">
        <w:rPr>
          <w:rFonts w:ascii="Titillium" w:hAnsi="Titillium" w:cs="Calibri"/>
          <w:bCs/>
          <w:i/>
          <w:iCs/>
          <w:sz w:val="18"/>
          <w:szCs w:val="18"/>
        </w:rPr>
        <w:t>[indicare]</w:t>
      </w:r>
      <w:r>
        <w:rPr>
          <w:rFonts w:ascii="Titillium" w:hAnsi="Titillium" w:cs="Calibri"/>
          <w:bCs/>
          <w:iCs/>
          <w:sz w:val="18"/>
          <w:szCs w:val="18"/>
        </w:rPr>
        <w:t xml:space="preserve">, questa Amministrazione ha deciso di affidare il servizio /la fornitura di ... </w:t>
      </w:r>
      <w:r w:rsidRPr="00352F6C">
        <w:rPr>
          <w:rFonts w:ascii="Titillium" w:hAnsi="Titillium" w:cs="Calibri"/>
          <w:bCs/>
          <w:i/>
          <w:iCs/>
          <w:sz w:val="18"/>
          <w:szCs w:val="18"/>
        </w:rPr>
        <w:t>[indicare l’oggetto dell’appalto], [in caso di servizi e forniture per i quali è vigente un decreto sui CAM]</w:t>
      </w:r>
      <w:r>
        <w:rPr>
          <w:rFonts w:ascii="Titillium" w:hAnsi="Titillium" w:cs="Calibri"/>
          <w:bCs/>
          <w:iCs/>
          <w:sz w:val="18"/>
          <w:szCs w:val="18"/>
        </w:rPr>
        <w:t xml:space="preserve"> conforme alle specifiche tecniche e alle clausole contrattuali contenute nei criteri ambientali minimi di cui al … </w:t>
      </w:r>
      <w:r>
        <w:rPr>
          <w:rFonts w:ascii="Titillium" w:hAnsi="Titillium" w:cs="Calibri"/>
          <w:bCs/>
          <w:i/>
          <w:iCs/>
          <w:sz w:val="18"/>
          <w:szCs w:val="18"/>
        </w:rPr>
        <w:t xml:space="preserve">[indicare il decreto di riferimento emanato dal </w:t>
      </w:r>
      <w:r w:rsidRPr="006E571E">
        <w:rPr>
          <w:rFonts w:ascii="Titillium" w:hAnsi="Titillium" w:cs="Calibri"/>
          <w:bCs/>
          <w:i/>
          <w:iCs/>
          <w:sz w:val="18"/>
          <w:szCs w:val="18"/>
        </w:rPr>
        <w:t>Ministero dell'ambiente e della sicurezza energetica</w:t>
      </w:r>
      <w:r>
        <w:rPr>
          <w:rFonts w:ascii="Titillium" w:hAnsi="Titillium" w:cs="Calibri"/>
          <w:bCs/>
          <w:i/>
          <w:iCs/>
          <w:sz w:val="18"/>
          <w:szCs w:val="18"/>
        </w:rPr>
        <w:t>.</w:t>
      </w:r>
    </w:p>
    <w:p w14:paraId="47C3A9F4" w14:textId="77777777" w:rsidR="00276DF7" w:rsidRDefault="00276DF7" w:rsidP="00276DF7">
      <w:pPr>
        <w:shd w:val="clear" w:color="auto" w:fill="F2F2F2" w:themeFill="background1" w:themeFillShade="F2"/>
        <w:spacing w:before="60" w:after="60"/>
        <w:ind w:firstLine="1"/>
        <w:rPr>
          <w:rFonts w:ascii="Titillium" w:hAnsi="Titillium" w:cs="Calibri"/>
        </w:rPr>
      </w:pPr>
    </w:p>
    <w:tbl>
      <w:tblPr>
        <w:tblW w:w="9210" w:type="dxa"/>
        <w:tblInd w:w="-108" w:type="dxa"/>
        <w:tblLook w:val="04A0" w:firstRow="1" w:lastRow="0" w:firstColumn="1" w:lastColumn="0" w:noHBand="0" w:noVBand="1"/>
      </w:tblPr>
      <w:tblGrid>
        <w:gridCol w:w="9210"/>
      </w:tblGrid>
      <w:tr w:rsidR="00276DF7" w14:paraId="36C5E140" w14:textId="77777777" w:rsidTr="00EA5131">
        <w:tc>
          <w:tcPr>
            <w:tcW w:w="9210" w:type="dxa"/>
            <w:tcBorders>
              <w:top w:val="single" w:sz="4" w:space="0" w:color="000000"/>
              <w:left w:val="single" w:sz="4" w:space="0" w:color="000000"/>
              <w:bottom w:val="single" w:sz="4" w:space="0" w:color="000000"/>
              <w:right w:val="single" w:sz="4" w:space="0" w:color="000000"/>
            </w:tcBorders>
          </w:tcPr>
          <w:p w14:paraId="385BD9F8"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N.B.: Di seguito si riporta il link dove è possibile consultare i CAM adottati dal</w:t>
            </w:r>
            <w:r w:rsidRPr="006E571E">
              <w:rPr>
                <w:rFonts w:ascii="Titillium" w:hAnsi="Titillium" w:cs="Calibri"/>
                <w:sz w:val="18"/>
                <w:szCs w:val="18"/>
              </w:rPr>
              <w:t xml:space="preserve"> Ministero dell'ambiente e della sicurezza energetica</w:t>
            </w:r>
            <w:r>
              <w:rPr>
                <w:rFonts w:ascii="Titillium" w:hAnsi="Titillium" w:cs="Calibri"/>
                <w:sz w:val="18"/>
                <w:szCs w:val="18"/>
              </w:rPr>
              <w:t xml:space="preserve">: </w:t>
            </w:r>
            <w:r w:rsidRPr="00201412">
              <w:rPr>
                <w:rFonts w:ascii="Titillium" w:hAnsi="Titillium" w:cs="Calibri"/>
                <w:sz w:val="18"/>
                <w:szCs w:val="18"/>
              </w:rPr>
              <w:t>https://gpp.mite.gov.it/Home/Cam#CamInVigore</w:t>
            </w:r>
          </w:p>
        </w:tc>
      </w:tr>
    </w:tbl>
    <w:p w14:paraId="605F2C24" w14:textId="77777777" w:rsidR="00276DF7" w:rsidRDefault="00276DF7" w:rsidP="00276DF7">
      <w:pPr>
        <w:widowControl w:val="0"/>
        <w:shd w:val="clear" w:color="auto" w:fill="F2F2F2" w:themeFill="background1" w:themeFillShade="F2"/>
        <w:spacing w:before="60" w:after="60"/>
        <w:rPr>
          <w:rFonts w:ascii="Titillium" w:hAnsi="Titillium" w:cs="Calibri"/>
        </w:rPr>
      </w:pPr>
    </w:p>
    <w:p w14:paraId="3E2D3D64" w14:textId="77777777" w:rsidR="00276DF7" w:rsidRDefault="00276DF7" w:rsidP="00276DF7">
      <w:pPr>
        <w:pStyle w:val="Testocommento"/>
        <w:shd w:val="clear" w:color="auto" w:fill="F2F2F2" w:themeFill="background1" w:themeFillShade="F2"/>
        <w:spacing w:before="60" w:after="60"/>
        <w:rPr>
          <w:rFonts w:ascii="Titillium" w:hAnsi="Titillium" w:cs="Calibri"/>
          <w:bCs/>
          <w:iCs/>
          <w:sz w:val="18"/>
          <w:szCs w:val="18"/>
          <w:lang w:val="it-IT" w:eastAsia="it-IT"/>
        </w:rPr>
      </w:pPr>
      <w:r>
        <w:rPr>
          <w:rFonts w:ascii="Titillium" w:hAnsi="Titillium" w:cs="Calibri"/>
          <w:bCs/>
          <w:iCs/>
          <w:sz w:val="18"/>
          <w:szCs w:val="18"/>
          <w:lang w:val="it-IT" w:eastAsia="it-IT"/>
        </w:rPr>
        <w:t>La</w:t>
      </w:r>
      <w:r w:rsidRPr="008816E2">
        <w:rPr>
          <w:rFonts w:ascii="Titillium" w:hAnsi="Titillium" w:cs="Calibri"/>
          <w:bCs/>
          <w:iCs/>
          <w:sz w:val="18"/>
          <w:szCs w:val="18"/>
          <w:lang w:val="it-IT" w:eastAsia="it-IT"/>
        </w:rPr>
        <w:t xml:space="preserve"> presente procedura aperta è interamente svolta tramite </w:t>
      </w:r>
      <w:r>
        <w:rPr>
          <w:rFonts w:ascii="Titillium" w:hAnsi="Titillium" w:cs="Calibri"/>
          <w:bCs/>
          <w:iCs/>
          <w:sz w:val="18"/>
          <w:szCs w:val="18"/>
          <w:lang w:val="it-IT" w:eastAsia="it-IT"/>
        </w:rPr>
        <w:t>la piattaforma telematica</w:t>
      </w:r>
      <w:r w:rsidRPr="008816E2">
        <w:rPr>
          <w:rFonts w:ascii="Titillium" w:hAnsi="Titillium" w:cs="Calibri"/>
          <w:bCs/>
          <w:iCs/>
          <w:sz w:val="18"/>
          <w:szCs w:val="18"/>
          <w:lang w:val="it-IT" w:eastAsia="it-IT"/>
        </w:rPr>
        <w:t xml:space="preserve"> accessibile all’indirizzo www … </w:t>
      </w:r>
      <w:r w:rsidRPr="006605E1">
        <w:rPr>
          <w:rFonts w:ascii="Titillium" w:hAnsi="Titillium" w:cs="Calibri"/>
          <w:bCs/>
          <w:i/>
          <w:iCs/>
          <w:sz w:val="18"/>
          <w:szCs w:val="18"/>
          <w:lang w:val="it-IT" w:eastAsia="it-IT"/>
        </w:rPr>
        <w:t xml:space="preserve">[indicare] </w:t>
      </w:r>
    </w:p>
    <w:p w14:paraId="6898F6C6" w14:textId="77777777" w:rsidR="00276DF7" w:rsidRPr="00287174" w:rsidRDefault="00276DF7" w:rsidP="00276DF7">
      <w:pPr>
        <w:pStyle w:val="Testocommento"/>
        <w:shd w:val="clear" w:color="auto" w:fill="F2F2F2" w:themeFill="background1" w:themeFillShade="F2"/>
        <w:spacing w:before="60" w:after="60"/>
        <w:rPr>
          <w:rFonts w:ascii="Titillium" w:hAnsi="Titillium" w:cs="Calibri"/>
          <w:bCs/>
          <w:iCs/>
          <w:sz w:val="18"/>
          <w:szCs w:val="18"/>
          <w:lang w:val="it-IT" w:eastAsia="it-IT"/>
        </w:rPr>
      </w:pPr>
      <w:r w:rsidRPr="00287174">
        <w:rPr>
          <w:rFonts w:ascii="Titillium" w:hAnsi="Titillium" w:cs="Calibri"/>
          <w:bCs/>
          <w:iCs/>
          <w:sz w:val="18"/>
          <w:szCs w:val="18"/>
          <w:lang w:val="it-IT" w:eastAsia="it-IT"/>
        </w:rPr>
        <w:t>L’affidamento avviene mediante procedura aperta con applicazione del criterio dell’offerta economicamente più vantaggiosa individuata sulla base del miglior rapporto qualità prezzo</w:t>
      </w:r>
    </w:p>
    <w:p w14:paraId="4F3FF4C7" w14:textId="77777777" w:rsidR="00276DF7" w:rsidRPr="009911C6" w:rsidRDefault="00276DF7" w:rsidP="00276DF7">
      <w:pPr>
        <w:pStyle w:val="Testocommento"/>
        <w:shd w:val="clear" w:color="auto" w:fill="F2F2F2" w:themeFill="background1" w:themeFillShade="F2"/>
        <w:spacing w:before="60" w:after="60"/>
        <w:rPr>
          <w:i/>
        </w:rPr>
      </w:pPr>
      <w:r>
        <w:rPr>
          <w:rFonts w:ascii="Titillium" w:hAnsi="Titillium" w:cs="Calibri"/>
          <w:bCs/>
          <w:iCs/>
          <w:sz w:val="18"/>
          <w:szCs w:val="18"/>
          <w:lang w:val="it-IT" w:eastAsia="it-IT"/>
        </w:rPr>
        <w:t xml:space="preserve">La durata del procedimento è prevista pari a … mesi dalla pubblicazione del </w:t>
      </w:r>
      <w:r w:rsidRPr="009911C6">
        <w:rPr>
          <w:rFonts w:ascii="Titillium" w:hAnsi="Titillium" w:cs="Calibri"/>
          <w:bCs/>
          <w:i/>
          <w:sz w:val="18"/>
          <w:szCs w:val="18"/>
          <w:lang w:val="it-IT" w:eastAsia="it-IT"/>
        </w:rPr>
        <w:t>bando [il termine massimo è di 9 mesi, salvo il verificarsi delle ipotesi di proroga previste all’articolo 1, commi 4 e 5, dell’allegato II.3 del codice]</w:t>
      </w:r>
      <w:r w:rsidRPr="009911C6">
        <w:rPr>
          <w:rFonts w:ascii="Titillium" w:hAnsi="Titillium" w:cs="Calibri"/>
          <w:bCs/>
          <w:i/>
          <w:sz w:val="18"/>
          <w:szCs w:val="18"/>
          <w:lang w:eastAsia="it-IT"/>
        </w:rPr>
        <w:t xml:space="preserve"> </w:t>
      </w:r>
    </w:p>
    <w:p w14:paraId="639E50E1" w14:textId="77777777" w:rsidR="00276DF7" w:rsidRPr="009911C6" w:rsidRDefault="00276DF7" w:rsidP="00276DF7">
      <w:pPr>
        <w:shd w:val="clear" w:color="auto" w:fill="F2F2F2" w:themeFill="background1" w:themeFillShade="F2"/>
        <w:tabs>
          <w:tab w:val="left" w:pos="360"/>
        </w:tabs>
        <w:spacing w:before="60" w:after="60"/>
        <w:rPr>
          <w:i/>
        </w:rPr>
      </w:pPr>
      <w:r>
        <w:rPr>
          <w:rFonts w:ascii="Titillium" w:hAnsi="Titillium" w:cs="Calibri"/>
          <w:bCs/>
          <w:iCs/>
          <w:sz w:val="18"/>
          <w:szCs w:val="18"/>
        </w:rPr>
        <w:t>Il luogo di …</w:t>
      </w:r>
      <w:r>
        <w:rPr>
          <w:rFonts w:ascii="Titillium" w:hAnsi="Titillium" w:cs="Calibri"/>
          <w:bCs/>
          <w:i/>
          <w:iCs/>
          <w:sz w:val="18"/>
          <w:szCs w:val="18"/>
        </w:rPr>
        <w:t xml:space="preserve"> </w:t>
      </w:r>
      <w:r>
        <w:rPr>
          <w:rFonts w:ascii="Titillium" w:hAnsi="Titillium" w:cs="Calibri"/>
          <w:bCs/>
          <w:iCs/>
          <w:sz w:val="18"/>
          <w:szCs w:val="18"/>
        </w:rPr>
        <w:t xml:space="preserve">svolgimento del servizio/consegna della fornitura è ... </w:t>
      </w:r>
      <w:r w:rsidRPr="009911C6">
        <w:rPr>
          <w:rFonts w:ascii="Titillium" w:hAnsi="Titillium" w:cs="Calibri"/>
          <w:bCs/>
          <w:i/>
          <w:sz w:val="18"/>
          <w:szCs w:val="18"/>
        </w:rPr>
        <w:t>[codice NUTS ...]</w:t>
      </w:r>
    </w:p>
    <w:p w14:paraId="4B91B8BB" w14:textId="77777777" w:rsidR="00276DF7" w:rsidRDefault="00276DF7" w:rsidP="00276DF7">
      <w:pPr>
        <w:shd w:val="clear" w:color="auto" w:fill="F2F2F2" w:themeFill="background1" w:themeFillShade="F2"/>
        <w:tabs>
          <w:tab w:val="left" w:pos="360"/>
        </w:tabs>
        <w:spacing w:before="60" w:after="60"/>
      </w:pPr>
      <w:r>
        <w:rPr>
          <w:rFonts w:ascii="Titillium" w:hAnsi="Titillium" w:cs="Calibri"/>
          <w:bCs/>
          <w:iCs/>
          <w:sz w:val="18"/>
          <w:szCs w:val="18"/>
        </w:rPr>
        <w:t xml:space="preserve">CIG … CUI … CUP … </w:t>
      </w:r>
      <w:r>
        <w:rPr>
          <w:rFonts w:ascii="Titillium" w:hAnsi="Titillium" w:cs="Calibri"/>
          <w:bCs/>
          <w:i/>
          <w:iCs/>
          <w:sz w:val="18"/>
          <w:szCs w:val="18"/>
        </w:rPr>
        <w:t>[indicare solo se obbligatorio]</w:t>
      </w:r>
    </w:p>
    <w:p w14:paraId="3068B47A" w14:textId="77777777" w:rsidR="00276DF7" w:rsidRDefault="00276DF7" w:rsidP="00276DF7">
      <w:pPr>
        <w:shd w:val="clear" w:color="auto" w:fill="F2F2F2" w:themeFill="background1" w:themeFillShade="F2"/>
        <w:spacing w:before="60" w:after="60"/>
        <w:rPr>
          <w:rFonts w:ascii="Titillium" w:hAnsi="Titillium" w:cs="Calibri"/>
          <w:b/>
          <w:bCs/>
          <w:i/>
          <w:iCs/>
          <w:sz w:val="18"/>
          <w:szCs w:val="18"/>
        </w:rPr>
      </w:pPr>
      <w:r>
        <w:rPr>
          <w:rFonts w:ascii="Titillium" w:hAnsi="Titillium" w:cs="Calibri"/>
          <w:b/>
          <w:bCs/>
          <w:i/>
          <w:iCs/>
          <w:sz w:val="18"/>
          <w:szCs w:val="18"/>
        </w:rPr>
        <w:t>[In caso di suddivisione in lotti]</w:t>
      </w:r>
    </w:p>
    <w:p w14:paraId="3BE07E4B" w14:textId="77777777" w:rsidR="00276DF7" w:rsidRDefault="00276DF7" w:rsidP="00276DF7">
      <w:pPr>
        <w:shd w:val="clear" w:color="auto" w:fill="F2F2F2" w:themeFill="background1" w:themeFillShade="F2"/>
        <w:spacing w:before="60" w:after="60"/>
      </w:pPr>
      <w:r>
        <w:rPr>
          <w:rFonts w:ascii="Titillium" w:hAnsi="Titillium" w:cs="Calibri"/>
          <w:bCs/>
          <w:iCs/>
          <w:sz w:val="18"/>
          <w:szCs w:val="18"/>
        </w:rPr>
        <w:t xml:space="preserve">lotto 1 CIG … CUI … CUP … </w:t>
      </w:r>
      <w:r>
        <w:rPr>
          <w:rFonts w:ascii="Titillium" w:hAnsi="Titillium" w:cs="Calibri"/>
          <w:bCs/>
          <w:i/>
          <w:iCs/>
          <w:sz w:val="18"/>
          <w:szCs w:val="18"/>
        </w:rPr>
        <w:t>[indicare solo se obbligatorio]</w:t>
      </w:r>
    </w:p>
    <w:p w14:paraId="2E59D226" w14:textId="77777777" w:rsidR="00276DF7" w:rsidRDefault="00276DF7" w:rsidP="00276DF7">
      <w:pPr>
        <w:shd w:val="clear" w:color="auto" w:fill="F2F2F2" w:themeFill="background1" w:themeFillShade="F2"/>
        <w:spacing w:before="60" w:after="60"/>
      </w:pPr>
      <w:r>
        <w:rPr>
          <w:rFonts w:ascii="Titillium" w:hAnsi="Titillium" w:cs="Calibri"/>
          <w:bCs/>
          <w:iCs/>
          <w:sz w:val="18"/>
          <w:szCs w:val="18"/>
        </w:rPr>
        <w:t xml:space="preserve">lotto 2 CIG … CUI … CUP … </w:t>
      </w:r>
      <w:r>
        <w:rPr>
          <w:rFonts w:ascii="Titillium" w:hAnsi="Titillium" w:cs="Calibri"/>
          <w:bCs/>
          <w:i/>
          <w:iCs/>
          <w:sz w:val="18"/>
          <w:szCs w:val="18"/>
        </w:rPr>
        <w:t>[indicare solo se obbligatorio]</w:t>
      </w:r>
    </w:p>
    <w:p w14:paraId="46DFB98C" w14:textId="77777777" w:rsidR="00276DF7" w:rsidRPr="00A73BEB" w:rsidRDefault="00276DF7" w:rsidP="00276DF7">
      <w:pPr>
        <w:shd w:val="clear" w:color="auto" w:fill="F2F2F2" w:themeFill="background1" w:themeFillShade="F2"/>
        <w:spacing w:before="60" w:after="60"/>
        <w:rPr>
          <w:rFonts w:ascii="Titillium" w:hAnsi="Titillium" w:cs="Calibri"/>
          <w:bCs/>
          <w:i/>
          <w:iCs/>
          <w:sz w:val="18"/>
          <w:szCs w:val="18"/>
        </w:rPr>
      </w:pPr>
      <w:r w:rsidRPr="007A654B">
        <w:rPr>
          <w:rFonts w:ascii="Titillium" w:hAnsi="Titillium" w:cs="Calibri"/>
          <w:bCs/>
          <w:iCs/>
          <w:sz w:val="18"/>
          <w:szCs w:val="18"/>
        </w:rPr>
        <w:t xml:space="preserve">Il </w:t>
      </w:r>
      <w:r w:rsidRPr="00A73BEB">
        <w:rPr>
          <w:rFonts w:ascii="Titillium" w:hAnsi="Titillium" w:cs="Calibri"/>
          <w:bCs/>
          <w:iCs/>
          <w:sz w:val="18"/>
          <w:szCs w:val="18"/>
        </w:rPr>
        <w:t>Responsabile unico del progetto</w:t>
      </w:r>
      <w:r w:rsidRPr="007A654B">
        <w:rPr>
          <w:rFonts w:ascii="Titillium" w:hAnsi="Titillium" w:cs="Calibri"/>
          <w:bCs/>
          <w:iCs/>
          <w:sz w:val="18"/>
          <w:szCs w:val="18"/>
        </w:rPr>
        <w:t xml:space="preserve"> è </w:t>
      </w:r>
      <w:r w:rsidRPr="00A73BEB">
        <w:rPr>
          <w:rFonts w:ascii="Titillium" w:hAnsi="Titillium" w:cs="Calibri"/>
          <w:bCs/>
          <w:i/>
          <w:iCs/>
          <w:sz w:val="18"/>
          <w:szCs w:val="18"/>
        </w:rPr>
        <w:t>… [indicare nome, cognome e indirizzo e-mail].</w:t>
      </w:r>
    </w:p>
    <w:p w14:paraId="0FDDFD1D" w14:textId="77777777" w:rsidR="00276DF7" w:rsidRPr="009567AD" w:rsidRDefault="00276DF7" w:rsidP="00276DF7">
      <w:pPr>
        <w:shd w:val="clear" w:color="auto" w:fill="F2F2F2" w:themeFill="background1" w:themeFillShade="F2"/>
        <w:spacing w:before="60" w:after="60"/>
        <w:rPr>
          <w:rFonts w:ascii="Titillium" w:hAnsi="Titillium" w:cs="Calibri"/>
          <w:bCs/>
          <w:sz w:val="18"/>
          <w:szCs w:val="18"/>
        </w:rPr>
      </w:pPr>
      <w:r>
        <w:rPr>
          <w:rFonts w:ascii="Titillium" w:hAnsi="Titillium" w:cs="Calibri"/>
          <w:bCs/>
          <w:sz w:val="18"/>
          <w:szCs w:val="18"/>
        </w:rPr>
        <w:t>Il Responsabile del procedimento per la fase di affidamento è …..</w:t>
      </w:r>
      <w:r w:rsidRPr="00531389">
        <w:rPr>
          <w:rFonts w:ascii="Titillium" w:hAnsi="Titillium" w:cs="Calibri"/>
          <w:bCs/>
          <w:iCs/>
          <w:sz w:val="18"/>
          <w:szCs w:val="18"/>
        </w:rPr>
        <w:t xml:space="preserve"> </w:t>
      </w:r>
      <w:r>
        <w:rPr>
          <w:rFonts w:ascii="Titillium" w:hAnsi="Titillium" w:cs="Calibri"/>
          <w:bCs/>
          <w:i/>
          <w:iCs/>
          <w:sz w:val="18"/>
          <w:szCs w:val="18"/>
        </w:rPr>
        <w:t>[se previsto, indicare nome, cognome e indirizzo e-mail].</w:t>
      </w:r>
    </w:p>
    <w:p w14:paraId="5243FF6D" w14:textId="77777777" w:rsidR="00276DF7" w:rsidRDefault="00276DF7" w:rsidP="00276DF7">
      <w:pPr>
        <w:shd w:val="clear" w:color="auto" w:fill="F2F2F2" w:themeFill="background1" w:themeFillShade="F2"/>
        <w:spacing w:before="60" w:after="60"/>
      </w:pPr>
    </w:p>
    <w:p w14:paraId="15AAD3CA" w14:textId="77777777" w:rsidR="00276DF7" w:rsidRPr="000D68B4" w:rsidRDefault="00276DF7" w:rsidP="00276DF7">
      <w:pPr>
        <w:pStyle w:val="Titolo2"/>
        <w:numPr>
          <w:ilvl w:val="0"/>
          <w:numId w:val="4"/>
        </w:numPr>
        <w:shd w:val="clear" w:color="auto" w:fill="F2F2F2" w:themeFill="background1" w:themeFillShade="F2"/>
        <w:spacing w:after="200"/>
        <w:ind w:left="357" w:hanging="357"/>
        <w:rPr>
          <w:rFonts w:ascii="Titillium" w:hAnsi="Titillium"/>
          <w:caps w:val="0"/>
          <w:sz w:val="18"/>
          <w:szCs w:val="18"/>
        </w:rPr>
      </w:pPr>
      <w:bookmarkStart w:id="136" w:name="_Ref132303744"/>
      <w:bookmarkStart w:id="137" w:name="_Toc139549409"/>
      <w:r w:rsidRPr="000D68B4">
        <w:rPr>
          <w:rFonts w:ascii="Titillium" w:hAnsi="Titillium"/>
          <w:caps w:val="0"/>
          <w:sz w:val="18"/>
          <w:szCs w:val="18"/>
        </w:rPr>
        <w:t>PIATTAFORMA TELEMATICA</w:t>
      </w:r>
      <w:bookmarkEnd w:id="136"/>
      <w:bookmarkEnd w:id="137"/>
      <w:r w:rsidRPr="000D68B4">
        <w:rPr>
          <w:rFonts w:ascii="Titillium" w:hAnsi="Titillium"/>
          <w:caps w:val="0"/>
          <w:sz w:val="18"/>
          <w:szCs w:val="18"/>
        </w:rPr>
        <w:t xml:space="preserve"> </w:t>
      </w:r>
    </w:p>
    <w:p w14:paraId="558BA208" w14:textId="77777777" w:rsidR="00276DF7" w:rsidRPr="0051579B" w:rsidRDefault="00276DF7" w:rsidP="00276DF7">
      <w:pPr>
        <w:pStyle w:val="Titolo3"/>
        <w:numPr>
          <w:ilvl w:val="1"/>
          <w:numId w:val="4"/>
        </w:numPr>
        <w:shd w:val="clear" w:color="auto" w:fill="F2F2F2" w:themeFill="background1" w:themeFillShade="F2"/>
        <w:ind w:left="426"/>
        <w:rPr>
          <w:rFonts w:ascii="Titillium" w:hAnsi="Titillium"/>
          <w:iCs/>
          <w:caps w:val="0"/>
          <w:sz w:val="18"/>
          <w:szCs w:val="18"/>
        </w:rPr>
      </w:pPr>
      <w:bookmarkStart w:id="138" w:name="_Ref132303729"/>
      <w:bookmarkStart w:id="139" w:name="_Toc139549410"/>
      <w:r>
        <w:rPr>
          <w:rFonts w:ascii="Titillium" w:hAnsi="Titillium"/>
          <w:iCs/>
          <w:caps w:val="0"/>
          <w:sz w:val="18"/>
          <w:szCs w:val="18"/>
        </w:rPr>
        <w:t>LA PIATTAFORMA TELEMATICA DI NEGOZIAZIONE</w:t>
      </w:r>
      <w:bookmarkEnd w:id="138"/>
      <w:bookmarkEnd w:id="139"/>
    </w:p>
    <w:p w14:paraId="68D3E8D7" w14:textId="77777777" w:rsidR="00276DF7" w:rsidRPr="00871272" w:rsidRDefault="00276DF7" w:rsidP="00276DF7">
      <w:pPr>
        <w:pStyle w:val="Nessunaspaziatura"/>
        <w:shd w:val="clear" w:color="auto" w:fill="F2F2F2" w:themeFill="background1" w:themeFillShade="F2"/>
        <w:tabs>
          <w:tab w:val="left" w:pos="567"/>
        </w:tabs>
        <w:spacing w:before="60" w:after="60"/>
        <w:rPr>
          <w:rFonts w:ascii="Titillium" w:hAnsi="Titillium" w:cs="Calibri"/>
          <w:bCs/>
          <w:iCs/>
          <w:sz w:val="18"/>
          <w:szCs w:val="18"/>
        </w:rPr>
      </w:pPr>
      <w:r w:rsidRPr="00871272">
        <w:rPr>
          <w:rFonts w:ascii="Titillium" w:hAnsi="Titillium" w:cs="Calibri"/>
          <w:bCs/>
          <w:iCs/>
          <w:sz w:val="18"/>
          <w:szCs w:val="18"/>
        </w:rPr>
        <w:t>L’utilizzo della Piattaforma comporta l’accettazione tacita ed incondizionata di tutti i termini, le condizioni di utilizzo e le avvertenze contenute nei documenti di gara, in particolare, del Regolamento UE n. 910/2014 (di seguito Regolamento eIDAS - electronic IDentification Authentication and Signature), del decreto legislativo n. 82/2005</w:t>
      </w:r>
      <w:r>
        <w:rPr>
          <w:rFonts w:ascii="Titillium" w:hAnsi="Titillium" w:cs="Calibri"/>
          <w:bCs/>
          <w:iCs/>
          <w:sz w:val="18"/>
          <w:szCs w:val="18"/>
        </w:rPr>
        <w:t xml:space="preserve"> recante </w:t>
      </w:r>
      <w:r w:rsidRPr="00871272">
        <w:rPr>
          <w:rFonts w:ascii="Titillium" w:hAnsi="Titillium" w:cs="Calibri"/>
          <w:bCs/>
          <w:iCs/>
          <w:sz w:val="18"/>
          <w:szCs w:val="18"/>
        </w:rPr>
        <w:t>Codice dell’amministrazione digitale</w:t>
      </w:r>
      <w:r>
        <w:rPr>
          <w:rFonts w:ascii="Titillium" w:hAnsi="Titillium" w:cs="Calibri"/>
          <w:bCs/>
          <w:iCs/>
          <w:sz w:val="18"/>
          <w:szCs w:val="18"/>
        </w:rPr>
        <w:t xml:space="preserve"> (CAD</w:t>
      </w:r>
      <w:r w:rsidRPr="00871272">
        <w:rPr>
          <w:rFonts w:ascii="Titillium" w:hAnsi="Titillium" w:cs="Calibri"/>
          <w:bCs/>
          <w:iCs/>
          <w:sz w:val="18"/>
          <w:szCs w:val="18"/>
        </w:rPr>
        <w:t>)</w:t>
      </w:r>
      <w:r>
        <w:rPr>
          <w:rFonts w:ascii="Titillium" w:hAnsi="Titillium" w:cs="Calibri"/>
          <w:bCs/>
          <w:iCs/>
          <w:sz w:val="18"/>
          <w:szCs w:val="18"/>
        </w:rPr>
        <w:t xml:space="preserve"> </w:t>
      </w:r>
      <w:r w:rsidRPr="00871272">
        <w:rPr>
          <w:rFonts w:ascii="Titillium" w:hAnsi="Titillium" w:cs="Calibri"/>
          <w:bCs/>
          <w:iCs/>
          <w:sz w:val="18"/>
          <w:szCs w:val="18"/>
        </w:rPr>
        <w:t>e delle Linee guida dell’AGID, nonché di quanto portato a conoscenza degli utenti tramite le comunicazioni sulla Piattaforma.</w:t>
      </w:r>
    </w:p>
    <w:p w14:paraId="24987B70" w14:textId="77777777" w:rsidR="00276DF7" w:rsidRPr="00871272" w:rsidRDefault="00276DF7" w:rsidP="00276DF7">
      <w:pPr>
        <w:pStyle w:val="Nessunaspaziatura"/>
        <w:shd w:val="clear" w:color="auto" w:fill="F2F2F2" w:themeFill="background1" w:themeFillShade="F2"/>
        <w:tabs>
          <w:tab w:val="left" w:pos="567"/>
        </w:tabs>
        <w:spacing w:before="60" w:after="60"/>
        <w:rPr>
          <w:rFonts w:ascii="Titillium" w:hAnsi="Titillium" w:cs="Calibri"/>
          <w:bCs/>
          <w:iCs/>
          <w:sz w:val="18"/>
          <w:szCs w:val="18"/>
        </w:rPr>
      </w:pPr>
      <w:r w:rsidRPr="00871272">
        <w:rPr>
          <w:rFonts w:ascii="Titillium" w:hAnsi="Titillium" w:cs="Calibri"/>
          <w:bCs/>
          <w:iCs/>
          <w:sz w:val="18"/>
          <w:szCs w:val="18"/>
        </w:rPr>
        <w:t xml:space="preserve">L’utilizzo della Piattaforma avviene nel rispetto dei principi di autoresponsabilità e di diligenza professionale, secondo quanto previsto dall’articolo 1176, comma 2, del Codice civile. </w:t>
      </w:r>
    </w:p>
    <w:p w14:paraId="08C450C8" w14:textId="77777777" w:rsidR="00276DF7" w:rsidRPr="00214C08" w:rsidRDefault="00276DF7" w:rsidP="00276DF7">
      <w:pPr>
        <w:pStyle w:val="Default"/>
        <w:shd w:val="clear" w:color="auto" w:fill="F2F2F2" w:themeFill="background1" w:themeFillShade="F2"/>
        <w:rPr>
          <w:rFonts w:ascii="Titillium" w:eastAsia="Times New Roman" w:hAnsi="Titillium" w:cs="Calibri"/>
          <w:bCs/>
          <w:iCs/>
          <w:color w:val="auto"/>
          <w:sz w:val="18"/>
          <w:szCs w:val="18"/>
        </w:rPr>
      </w:pPr>
      <w:r w:rsidRPr="00871272">
        <w:rPr>
          <w:rFonts w:ascii="Titillium" w:eastAsia="Times New Roman" w:hAnsi="Titillium" w:cs="Calibri"/>
          <w:bCs/>
          <w:iCs/>
          <w:color w:val="auto"/>
          <w:sz w:val="18"/>
          <w:szCs w:val="18"/>
        </w:rPr>
        <w:t>La Stazione</w:t>
      </w:r>
      <w:r w:rsidRPr="00214C08">
        <w:rPr>
          <w:rFonts w:ascii="Titillium" w:eastAsia="Times New Roman" w:hAnsi="Titillium" w:cs="Calibri"/>
          <w:bCs/>
          <w:iCs/>
          <w:color w:val="auto"/>
          <w:sz w:val="18"/>
          <w:szCs w:val="18"/>
        </w:rPr>
        <w:t xml:space="preserve"> appaltante non assume alcuna responsabilità per perdita di documenti e dati, danneggiamento di file e documenti, ritardi nell’inserimento di dati, documenti e/o nella presentazione della domanda, malfunzionamento, danni, pregiudizi derivanti all’operatore economico, da:</w:t>
      </w:r>
    </w:p>
    <w:p w14:paraId="6E5BBB01" w14:textId="77777777" w:rsidR="00276DF7" w:rsidRPr="00214C08" w:rsidRDefault="00276DF7" w:rsidP="00276DF7">
      <w:pPr>
        <w:pStyle w:val="Default"/>
        <w:numPr>
          <w:ilvl w:val="1"/>
          <w:numId w:val="18"/>
        </w:numPr>
        <w:shd w:val="clear" w:color="auto" w:fill="F2F2F2" w:themeFill="background1" w:themeFillShade="F2"/>
        <w:ind w:left="284" w:hanging="284"/>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difetti di funzionamento delle apparecchiature e dei sistemi di collegamento e programmi impiegati dal singolo operatore economico per il collegamento alla Piattaforma;</w:t>
      </w:r>
    </w:p>
    <w:p w14:paraId="502217F6" w14:textId="77777777" w:rsidR="00276DF7" w:rsidRPr="00214C08" w:rsidRDefault="00276DF7" w:rsidP="00276DF7">
      <w:pPr>
        <w:pStyle w:val="Default"/>
        <w:numPr>
          <w:ilvl w:val="1"/>
          <w:numId w:val="18"/>
        </w:numPr>
        <w:shd w:val="clear" w:color="auto" w:fill="F2F2F2" w:themeFill="background1" w:themeFillShade="F2"/>
        <w:ind w:left="284" w:hanging="284"/>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 xml:space="preserve">utilizzo della Piattaforma da parte dell’operatore economico in maniera non conforme </w:t>
      </w:r>
      <w:r w:rsidRPr="00214C08">
        <w:rPr>
          <w:rFonts w:ascii="Titillium" w:eastAsia="Times New Roman" w:hAnsi="Titillium" w:cs="Calibri"/>
          <w:bCs/>
          <w:iCs/>
          <w:color w:val="auto"/>
          <w:sz w:val="18"/>
          <w:szCs w:val="18"/>
        </w:rPr>
        <w:lastRenderedPageBreak/>
        <w:t xml:space="preserve">al Disciplinare e a quanto previsto nel documento denominato … </w:t>
      </w:r>
      <w:r w:rsidRPr="00D44232">
        <w:rPr>
          <w:rFonts w:ascii="Titillium" w:eastAsia="Times New Roman" w:hAnsi="Titillium" w:cs="Calibri"/>
          <w:bCs/>
          <w:iCs/>
          <w:color w:val="auto"/>
          <w:sz w:val="18"/>
          <w:szCs w:val="18"/>
        </w:rPr>
        <w:t>[</w:t>
      </w:r>
      <w:r w:rsidRPr="00573D0F">
        <w:rPr>
          <w:rFonts w:ascii="Titillium" w:eastAsia="Times New Roman" w:hAnsi="Titillium" w:cs="Calibri"/>
          <w:bCs/>
          <w:i/>
          <w:color w:val="auto"/>
          <w:sz w:val="18"/>
          <w:szCs w:val="18"/>
        </w:rPr>
        <w:t>indicare il documento nel quale sono riportate tutte le prescrizioni tecnico-informatiche</w:t>
      </w:r>
      <w:r>
        <w:rPr>
          <w:rFonts w:ascii="Titillium" w:eastAsia="Times New Roman" w:hAnsi="Titillium" w:cs="Calibri"/>
          <w:bCs/>
          <w:i/>
          <w:color w:val="auto"/>
          <w:sz w:val="18"/>
          <w:szCs w:val="18"/>
        </w:rPr>
        <w:t xml:space="preserve">, </w:t>
      </w:r>
      <w:r w:rsidRPr="00573D0F">
        <w:rPr>
          <w:rFonts w:ascii="Titillium" w:eastAsia="Times New Roman" w:hAnsi="Titillium" w:cs="Calibri"/>
          <w:bCs/>
          <w:i/>
          <w:color w:val="auto"/>
          <w:sz w:val="18"/>
          <w:szCs w:val="18"/>
        </w:rPr>
        <w:t>ad esempio Condizioni generali di utilizzo della Piattaforma per gare telematiche</w:t>
      </w:r>
      <w:r w:rsidRPr="00FB243C">
        <w:rPr>
          <w:rFonts w:ascii="Titillium" w:eastAsia="Times New Roman" w:hAnsi="Titillium" w:cs="Calibri"/>
          <w:bCs/>
          <w:i/>
          <w:iCs/>
          <w:color w:val="auto"/>
          <w:sz w:val="18"/>
          <w:szCs w:val="18"/>
        </w:rPr>
        <w:t>].</w:t>
      </w:r>
    </w:p>
    <w:p w14:paraId="46FE2949" w14:textId="77777777" w:rsidR="00276DF7" w:rsidRPr="00214C08" w:rsidRDefault="00276DF7" w:rsidP="00276DF7">
      <w:pPr>
        <w:pStyle w:val="Default"/>
        <w:shd w:val="clear" w:color="auto" w:fill="F2F2F2" w:themeFill="background1" w:themeFillShade="F2"/>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 xml:space="preserve">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w:t>
      </w:r>
      <w:r w:rsidRPr="00527049">
        <w:rPr>
          <w:rFonts w:ascii="Titillium" w:eastAsia="Times New Roman" w:hAnsi="Titillium" w:cs="Calibri"/>
          <w:bCs/>
          <w:iCs/>
          <w:color w:val="auto"/>
          <w:sz w:val="18"/>
          <w:szCs w:val="18"/>
        </w:rPr>
        <w:t>stesso.</w:t>
      </w:r>
    </w:p>
    <w:p w14:paraId="1F82A518" w14:textId="77777777" w:rsidR="00276DF7" w:rsidRDefault="00276DF7" w:rsidP="00276DF7">
      <w:pPr>
        <w:pStyle w:val="Default"/>
        <w:shd w:val="clear" w:color="auto" w:fill="F2F2F2" w:themeFill="background1" w:themeFillShade="F2"/>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La stazione appaltante si riserva di agire in tal modo anche quando, esclusa la negligenza dell’operatore economico, non sia possibile accertare la causa del mancato funzionamento o del malfunzionamento.</w:t>
      </w:r>
    </w:p>
    <w:p w14:paraId="72045FCF" w14:textId="77777777" w:rsidR="00276DF7" w:rsidRDefault="00276DF7" w:rsidP="00276DF7">
      <w:pPr>
        <w:pStyle w:val="Default"/>
        <w:shd w:val="clear" w:color="auto" w:fill="F2F2F2" w:themeFill="background1" w:themeFillShade="F2"/>
        <w:tabs>
          <w:tab w:val="left" w:pos="567"/>
        </w:tabs>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 xml:space="preserve">Le attività e le operazioni effettuate nell'ambito della Piattaforma sono registrate e attribuite all’operatore economico e si intendono compiute nell’ora e nel giorno risultanti dalle registrazioni di sistema. </w:t>
      </w:r>
    </w:p>
    <w:p w14:paraId="2CDC7D17" w14:textId="77777777" w:rsidR="00276DF7" w:rsidRDefault="00276DF7" w:rsidP="00276DF7">
      <w:pPr>
        <w:pStyle w:val="Default"/>
        <w:shd w:val="clear" w:color="auto" w:fill="F2F2F2" w:themeFill="background1" w:themeFillShade="F2"/>
        <w:tabs>
          <w:tab w:val="left" w:pos="567"/>
        </w:tabs>
      </w:pPr>
      <w:r>
        <w:rPr>
          <w:rFonts w:ascii="Titillium" w:eastAsia="Times New Roman" w:hAnsi="Titillium" w:cs="Calibri"/>
          <w:bCs/>
          <w:iCs/>
          <w:color w:val="auto"/>
          <w:sz w:val="18"/>
          <w:szCs w:val="18"/>
        </w:rPr>
        <w:t>Il sistema operativo della Piattaforma è sincronizzato sulla scala di tempo nazionale di cui al</w:t>
      </w:r>
      <w:r>
        <w:rPr>
          <w:rFonts w:ascii="Calibri" w:eastAsia="Times New Roman" w:hAnsi="Calibri" w:cs="Calibri"/>
          <w:bCs/>
          <w:iCs/>
          <w:color w:val="auto"/>
          <w:sz w:val="18"/>
          <w:szCs w:val="18"/>
        </w:rPr>
        <w:t xml:space="preserve"> </w:t>
      </w:r>
      <w:r>
        <w:rPr>
          <w:rFonts w:ascii="Titillium" w:eastAsia="Times New Roman" w:hAnsi="Titillium" w:cs="Calibri"/>
          <w:bCs/>
          <w:iCs/>
          <w:color w:val="auto"/>
          <w:sz w:val="18"/>
          <w:szCs w:val="18"/>
        </w:rPr>
        <w:t xml:space="preserve">decreto del Ministro dell'industria, del commercio e dell'artigianato 30 novembre 1993, n. 591, tramite protocollo NTP o standard superiore. </w:t>
      </w:r>
    </w:p>
    <w:p w14:paraId="21B79C9F" w14:textId="77777777" w:rsidR="00276DF7" w:rsidRDefault="00276DF7" w:rsidP="00276DF7">
      <w:pPr>
        <w:pStyle w:val="Default"/>
        <w:shd w:val="clear" w:color="auto" w:fill="F2F2F2" w:themeFill="background1" w:themeFillShade="F2"/>
        <w:rPr>
          <w:rFonts w:ascii="Titillium" w:hAnsi="Titillium" w:cs="Calibri"/>
          <w:bCs/>
          <w:iCs/>
          <w:sz w:val="18"/>
          <w:szCs w:val="18"/>
        </w:rPr>
      </w:pPr>
      <w:r w:rsidRPr="00840480">
        <w:rPr>
          <w:rFonts w:ascii="Titillium" w:hAnsi="Titillium" w:cs="Calibri"/>
          <w:b/>
          <w:bCs/>
          <w:i/>
          <w:iCs/>
          <w:sz w:val="18"/>
          <w:szCs w:val="18"/>
          <w:highlight w:val="white"/>
        </w:rPr>
        <w:t>[</w:t>
      </w:r>
      <w:r>
        <w:rPr>
          <w:rFonts w:ascii="Titillium" w:hAnsi="Titillium" w:cs="Calibri"/>
          <w:b/>
          <w:bCs/>
          <w:i/>
          <w:iCs/>
          <w:sz w:val="18"/>
          <w:szCs w:val="18"/>
          <w:highlight w:val="white"/>
        </w:rPr>
        <w:t>Facoltativo</w:t>
      </w:r>
      <w:r w:rsidRPr="00840480">
        <w:rPr>
          <w:rFonts w:ascii="Titillium" w:hAnsi="Titillium" w:cs="Calibri"/>
          <w:b/>
          <w:bCs/>
          <w:i/>
          <w:iCs/>
          <w:sz w:val="18"/>
          <w:szCs w:val="18"/>
          <w:highlight w:val="white"/>
        </w:rPr>
        <w:t>]</w:t>
      </w:r>
      <w:r>
        <w:rPr>
          <w:rFonts w:ascii="Titillium" w:hAnsi="Titillium" w:cs="Calibri"/>
          <w:b/>
          <w:bCs/>
          <w:iCs/>
          <w:sz w:val="18"/>
          <w:szCs w:val="18"/>
          <w:highlight w:val="white"/>
        </w:rPr>
        <w:t xml:space="preserve"> </w:t>
      </w:r>
      <w:r w:rsidRPr="004A1488">
        <w:rPr>
          <w:rFonts w:ascii="Titillium" w:hAnsi="Titillium" w:cs="Calibri"/>
          <w:bCs/>
          <w:iCs/>
          <w:sz w:val="18"/>
          <w:szCs w:val="18"/>
        </w:rPr>
        <w:t xml:space="preserve">L’utilizzo e il funzionamento della Piattaforma avvengono in conformità a quanto riportato nel </w:t>
      </w:r>
      <w:r w:rsidRPr="004A1488">
        <w:rPr>
          <w:rFonts w:ascii="Titillium" w:hAnsi="Titillium" w:cs="Calibri"/>
          <w:bCs/>
          <w:sz w:val="18"/>
          <w:szCs w:val="18"/>
        </w:rPr>
        <w:t>documento</w:t>
      </w:r>
      <w:r w:rsidRPr="004A1488">
        <w:rPr>
          <w:rFonts w:ascii="Titillium" w:hAnsi="Titillium" w:cs="Calibri"/>
          <w:bCs/>
          <w:i/>
          <w:iCs/>
          <w:sz w:val="18"/>
          <w:szCs w:val="18"/>
        </w:rPr>
        <w:t xml:space="preserve"> … [indicarne il nome</w:t>
      </w:r>
      <w:r>
        <w:rPr>
          <w:rFonts w:ascii="Titillium" w:hAnsi="Titillium" w:cs="Calibri"/>
          <w:bCs/>
          <w:i/>
          <w:iCs/>
          <w:sz w:val="18"/>
          <w:szCs w:val="18"/>
        </w:rPr>
        <w:t>,</w:t>
      </w:r>
      <w:r w:rsidRPr="004A1488">
        <w:rPr>
          <w:rFonts w:ascii="Titillium" w:hAnsi="Titillium" w:cs="Calibri"/>
          <w:bCs/>
          <w:i/>
          <w:iCs/>
          <w:sz w:val="18"/>
          <w:szCs w:val="18"/>
        </w:rPr>
        <w:t xml:space="preserve"> ad esempio Condizioni generali di utilizzo della Piattaforma per gare telematiche o Regolamento tecnico]</w:t>
      </w:r>
      <w:r w:rsidRPr="004A1488">
        <w:rPr>
          <w:rFonts w:ascii="Titillium" w:hAnsi="Titillium" w:cs="Calibri"/>
          <w:bCs/>
          <w:iCs/>
          <w:sz w:val="18"/>
          <w:szCs w:val="18"/>
        </w:rPr>
        <w:t>, che costituisce parte integrante del presente disciplinare.</w:t>
      </w:r>
    </w:p>
    <w:p w14:paraId="1C003B42" w14:textId="77777777" w:rsidR="00276DF7" w:rsidRDefault="00276DF7" w:rsidP="00276DF7">
      <w:pPr>
        <w:pStyle w:val="Default"/>
        <w:shd w:val="clear" w:color="auto" w:fill="F2F2F2" w:themeFill="background1" w:themeFillShade="F2"/>
      </w:pPr>
      <w:r>
        <w:rPr>
          <w:rFonts w:ascii="Titillium" w:eastAsia="Times New Roman" w:hAnsi="Titillium" w:cs="Calibri"/>
          <w:bCs/>
          <w:iCs/>
          <w:color w:val="auto"/>
          <w:sz w:val="18"/>
          <w:szCs w:val="18"/>
        </w:rPr>
        <w:t>L’acquisto, l’installazione e la configurazione dell’</w:t>
      </w:r>
      <w:r>
        <w:rPr>
          <w:rFonts w:ascii="Titillium" w:eastAsia="Times New Roman" w:hAnsi="Titillium" w:cs="Calibri"/>
          <w:bCs/>
          <w:i/>
          <w:iCs/>
          <w:color w:val="auto"/>
          <w:sz w:val="18"/>
          <w:szCs w:val="18"/>
        </w:rPr>
        <w:t>hardware</w:t>
      </w:r>
      <w:r>
        <w:rPr>
          <w:rFonts w:ascii="Titillium" w:eastAsia="Times New Roman" w:hAnsi="Titillium" w:cs="Calibri"/>
          <w:bCs/>
          <w:iCs/>
          <w:color w:val="auto"/>
          <w:sz w:val="18"/>
          <w:szCs w:val="18"/>
        </w:rPr>
        <w:t xml:space="preserve">, del </w:t>
      </w:r>
      <w:r>
        <w:rPr>
          <w:rFonts w:ascii="Titillium" w:eastAsia="Times New Roman" w:hAnsi="Titillium" w:cs="Calibri"/>
          <w:bCs/>
          <w:i/>
          <w:iCs/>
          <w:color w:val="auto"/>
          <w:sz w:val="18"/>
          <w:szCs w:val="18"/>
        </w:rPr>
        <w:t>software</w:t>
      </w:r>
      <w:r>
        <w:rPr>
          <w:rFonts w:ascii="Titillium" w:eastAsia="Times New Roman" w:hAnsi="Titillium" w:cs="Calibri"/>
          <w:bCs/>
          <w:iCs/>
          <w:color w:val="auto"/>
          <w:sz w:val="18"/>
          <w:szCs w:val="18"/>
        </w:rPr>
        <w:t xml:space="preserve">, dei certificati digitali di firma, della casella di PEC o comunque di un indirizzo di servizio elettronico di recapito certificato qualificato, nonché dei collegamenti per l’accesso alla rete </w:t>
      </w:r>
      <w:r>
        <w:rPr>
          <w:rFonts w:ascii="Titillium" w:eastAsia="Times New Roman" w:hAnsi="Titillium" w:cs="Calibri"/>
          <w:bCs/>
          <w:i/>
          <w:iCs/>
          <w:color w:val="auto"/>
          <w:sz w:val="18"/>
          <w:szCs w:val="18"/>
        </w:rPr>
        <w:t>Internet</w:t>
      </w:r>
      <w:r>
        <w:rPr>
          <w:rFonts w:ascii="Titillium" w:eastAsia="Times New Roman" w:hAnsi="Titillium" w:cs="Calibri"/>
          <w:bCs/>
          <w:iCs/>
          <w:color w:val="auto"/>
          <w:sz w:val="18"/>
          <w:szCs w:val="18"/>
        </w:rPr>
        <w:t>, restano a esclusivo carico dell’operatore economico.</w:t>
      </w:r>
    </w:p>
    <w:p w14:paraId="4FEE0EFE" w14:textId="77777777" w:rsidR="00276DF7" w:rsidRDefault="00276DF7" w:rsidP="00276DF7">
      <w:pPr>
        <w:pStyle w:val="Default"/>
        <w:shd w:val="clear" w:color="auto" w:fill="F2F2F2" w:themeFill="background1" w:themeFillShade="F2"/>
        <w:tabs>
          <w:tab w:val="left" w:pos="567"/>
        </w:tabs>
      </w:pPr>
      <w:r>
        <w:rPr>
          <w:rFonts w:ascii="Titillium" w:eastAsia="Times New Roman" w:hAnsi="Titillium" w:cs="Calibri"/>
          <w:bCs/>
          <w:iCs/>
          <w:color w:val="auto"/>
          <w:sz w:val="18"/>
          <w:szCs w:val="18"/>
        </w:rPr>
        <w:t xml:space="preserve">La Piattaforma è accessibile </w:t>
      </w:r>
      <w:r w:rsidRPr="00573D0F">
        <w:rPr>
          <w:rFonts w:ascii="Titillium" w:eastAsia="Times New Roman" w:hAnsi="Titillium" w:cs="Calibri"/>
          <w:bCs/>
          <w:color w:val="auto"/>
          <w:sz w:val="18"/>
          <w:szCs w:val="18"/>
        </w:rPr>
        <w:t xml:space="preserve">in qualsiasi orario dalla data di pubblicazione del bando alla data di scadenza del termine di presentazione delle offerte </w:t>
      </w:r>
      <w:r>
        <w:rPr>
          <w:rFonts w:ascii="Titillium" w:eastAsia="Times New Roman" w:hAnsi="Titillium" w:cs="Calibri"/>
          <w:bCs/>
          <w:color w:val="auto"/>
          <w:sz w:val="18"/>
          <w:szCs w:val="18"/>
        </w:rPr>
        <w:t xml:space="preserve">… </w:t>
      </w:r>
      <w:r>
        <w:rPr>
          <w:rFonts w:ascii="Titillium" w:eastAsia="Times New Roman" w:hAnsi="Titillium" w:cs="Calibri"/>
          <w:bCs/>
          <w:i/>
          <w:iCs/>
          <w:color w:val="auto"/>
          <w:sz w:val="18"/>
          <w:szCs w:val="18"/>
        </w:rPr>
        <w:t>[in alternativa, in caso di limitazioni orarie, indicare quando è accessibile la Piattaforma, ad esempio sempre oppure dal lunedì al venerdì dalle ore 8:00 alle ore 20:00 festivi esclusi oppure ogni giorno dalle 8:00 alle 20:00].</w:t>
      </w:r>
    </w:p>
    <w:p w14:paraId="7AC21311" w14:textId="77777777" w:rsidR="00276DF7" w:rsidRDefault="00276DF7" w:rsidP="00276DF7">
      <w:pPr>
        <w:pStyle w:val="Default"/>
        <w:shd w:val="clear" w:color="auto" w:fill="F2F2F2" w:themeFill="background1" w:themeFillShade="F2"/>
        <w:rPr>
          <w:rFonts w:ascii="Titillium" w:eastAsia="Times New Roman" w:hAnsi="Titillium" w:cs="Calibri"/>
          <w:bCs/>
          <w:iCs/>
          <w:sz w:val="18"/>
          <w:szCs w:val="18"/>
        </w:rPr>
      </w:pPr>
    </w:p>
    <w:p w14:paraId="0262697E" w14:textId="77777777" w:rsidR="00276DF7" w:rsidRPr="00CE2140" w:rsidRDefault="00276DF7" w:rsidP="00276DF7">
      <w:pPr>
        <w:pStyle w:val="Titolo3"/>
        <w:numPr>
          <w:ilvl w:val="1"/>
          <w:numId w:val="4"/>
        </w:numPr>
        <w:shd w:val="clear" w:color="auto" w:fill="F2F2F2" w:themeFill="background1" w:themeFillShade="F2"/>
        <w:ind w:left="426"/>
        <w:rPr>
          <w:rFonts w:ascii="Titillium" w:hAnsi="Titillium"/>
          <w:iCs/>
          <w:caps w:val="0"/>
          <w:sz w:val="18"/>
          <w:szCs w:val="18"/>
        </w:rPr>
      </w:pPr>
      <w:bookmarkStart w:id="140" w:name="_Toc7655658811111"/>
      <w:bookmarkStart w:id="141" w:name="_Toc7655652711111"/>
      <w:bookmarkStart w:id="142" w:name="_Toc7655646611111"/>
      <w:bookmarkStart w:id="143" w:name="_Toc7655640511111"/>
      <w:bookmarkStart w:id="144" w:name="_Toc763991861111111111111111111111"/>
      <w:bookmarkStart w:id="145" w:name="_Toc7655658911111"/>
      <w:bookmarkStart w:id="146" w:name="_Toc7655652811111"/>
      <w:bookmarkStart w:id="147" w:name="_Toc7655646711111"/>
      <w:bookmarkStart w:id="148" w:name="_Toc7655640611111"/>
      <w:bookmarkStart w:id="149" w:name="_Toc763991871111111111111111111111"/>
      <w:bookmarkStart w:id="150" w:name="_Toc7655659011111"/>
      <w:bookmarkStart w:id="151" w:name="_Toc7655652911111"/>
      <w:bookmarkStart w:id="152" w:name="_Toc7655646811111"/>
      <w:bookmarkStart w:id="153" w:name="_Toc7655640711111"/>
      <w:bookmarkStart w:id="154" w:name="_Toc763991881111111111111111111111"/>
      <w:bookmarkStart w:id="155" w:name="_Toc7655659111111"/>
      <w:bookmarkStart w:id="156" w:name="_Toc7655653011111"/>
      <w:bookmarkStart w:id="157" w:name="_Toc7655646911111"/>
      <w:bookmarkStart w:id="158" w:name="_Toc7655640811111"/>
      <w:bookmarkStart w:id="159" w:name="_Toc763991891111111111111111111111"/>
      <w:bookmarkStart w:id="160" w:name="_Toc139549411"/>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tillium" w:hAnsi="Titillium"/>
          <w:iCs/>
          <w:caps w:val="0"/>
          <w:sz w:val="18"/>
          <w:szCs w:val="18"/>
        </w:rPr>
        <w:t>DOTAZIONI TECNICHE</w:t>
      </w:r>
      <w:bookmarkEnd w:id="160"/>
    </w:p>
    <w:p w14:paraId="1475B30F" w14:textId="77777777" w:rsidR="00276DF7" w:rsidRDefault="00276DF7" w:rsidP="00276DF7">
      <w:pPr>
        <w:shd w:val="clear" w:color="auto" w:fill="F2F2F2" w:themeFill="background1" w:themeFillShade="F2"/>
        <w:tabs>
          <w:tab w:val="left" w:pos="709"/>
        </w:tabs>
        <w:spacing w:before="60" w:after="60"/>
      </w:pPr>
      <w:r>
        <w:rPr>
          <w:rFonts w:ascii="Titillium" w:hAnsi="Titillium" w:cs="Calibri"/>
          <w:bCs/>
          <w:color w:val="000000"/>
          <w:sz w:val="18"/>
          <w:szCs w:val="18"/>
          <w:highlight w:val="white"/>
        </w:rPr>
        <w:t xml:space="preserve">Ai fini della partecipazione alla presente procedura, ogni operatore economico deve dotarsi, a propria cura, spesa e responsabilità della strumentazione tecnica ed informatica conforme a quella indicata nel presente disciplinare e nel documento …  </w:t>
      </w:r>
      <w:r>
        <w:rPr>
          <w:rFonts w:ascii="Titillium" w:hAnsi="Titillium" w:cs="Calibri"/>
          <w:bCs/>
          <w:i/>
          <w:iCs/>
          <w:color w:val="000000"/>
          <w:sz w:val="18"/>
          <w:szCs w:val="18"/>
          <w:highlight w:val="white"/>
        </w:rPr>
        <w:t>[indicarne il nome, ad esempio Condizioni generali di utilizzo della Piattaforma per gare telematiche o Regolamento tecnico]</w:t>
      </w:r>
      <w:r>
        <w:rPr>
          <w:rFonts w:ascii="Titillium" w:hAnsi="Titillium" w:cs="Calibri"/>
          <w:bCs/>
          <w:iCs/>
          <w:color w:val="000000"/>
          <w:sz w:val="18"/>
          <w:szCs w:val="18"/>
          <w:highlight w:val="white"/>
        </w:rPr>
        <w:t>, che disciplina il funzionamento e l’utilizzo della Piattaforma</w:t>
      </w:r>
      <w:r w:rsidRPr="000C344B">
        <w:rPr>
          <w:rFonts w:ascii="Titillium" w:hAnsi="Titillium" w:cs="Calibri"/>
          <w:bCs/>
          <w:color w:val="000000"/>
          <w:sz w:val="18"/>
          <w:szCs w:val="18"/>
        </w:rPr>
        <w:t>.</w:t>
      </w:r>
    </w:p>
    <w:p w14:paraId="02630758" w14:textId="77777777" w:rsidR="00276DF7" w:rsidRPr="001F3065" w:rsidRDefault="00276DF7" w:rsidP="00276DF7">
      <w:pPr>
        <w:shd w:val="clear" w:color="auto" w:fill="F2F2F2" w:themeFill="background1" w:themeFillShade="F2"/>
        <w:tabs>
          <w:tab w:val="left" w:pos="709"/>
        </w:tabs>
        <w:spacing w:before="60" w:after="60"/>
        <w:rPr>
          <w:rFonts w:ascii="Titillium" w:hAnsi="Titillium" w:cs="Calibri"/>
          <w:bCs/>
          <w:color w:val="000000"/>
          <w:sz w:val="18"/>
          <w:szCs w:val="18"/>
          <w:highlight w:val="white"/>
        </w:rPr>
      </w:pPr>
      <w:r>
        <w:rPr>
          <w:rFonts w:ascii="Titillium" w:hAnsi="Titillium" w:cs="Calibri"/>
          <w:bCs/>
          <w:color w:val="000000"/>
          <w:sz w:val="18"/>
          <w:szCs w:val="18"/>
          <w:highlight w:val="white"/>
        </w:rPr>
        <w:t>In og</w:t>
      </w:r>
      <w:r w:rsidRPr="001F3065">
        <w:rPr>
          <w:rFonts w:ascii="Titillium" w:hAnsi="Titillium" w:cs="Calibri"/>
          <w:bCs/>
          <w:color w:val="000000"/>
          <w:sz w:val="18"/>
          <w:szCs w:val="18"/>
          <w:highlight w:val="white"/>
        </w:rPr>
        <w:t>ni caso è indispensabile:</w:t>
      </w:r>
    </w:p>
    <w:p w14:paraId="2C1D6AA0" w14:textId="77777777" w:rsidR="00276DF7" w:rsidRPr="001F3065" w:rsidRDefault="00276DF7" w:rsidP="00276DF7">
      <w:pPr>
        <w:pStyle w:val="Default"/>
        <w:numPr>
          <w:ilvl w:val="1"/>
          <w:numId w:val="19"/>
        </w:numPr>
        <w:shd w:val="clear" w:color="auto" w:fill="F2F2F2" w:themeFill="background1" w:themeFillShade="F2"/>
        <w:tabs>
          <w:tab w:val="left" w:pos="360"/>
        </w:tabs>
        <w:ind w:left="709" w:hanging="357"/>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disporre almeno di un personal computer conforme agli standard aggiornati di mercato, con connessione internet e dotato di un comune browser idoneo ad operare in modo corretto sulla Piattaforma; </w:t>
      </w:r>
    </w:p>
    <w:p w14:paraId="7F9043AE" w14:textId="77777777" w:rsidR="00276DF7" w:rsidRPr="001F3065" w:rsidRDefault="00276DF7" w:rsidP="00276DF7">
      <w:pPr>
        <w:pStyle w:val="Default"/>
        <w:numPr>
          <w:ilvl w:val="1"/>
          <w:numId w:val="19"/>
        </w:numPr>
        <w:shd w:val="clear" w:color="auto" w:fill="F2F2F2" w:themeFill="background1" w:themeFillShade="F2"/>
        <w:tabs>
          <w:tab w:val="left" w:pos="360"/>
        </w:tabs>
        <w:ind w:left="709" w:hanging="357"/>
        <w:rPr>
          <w:rFonts w:ascii="Titillium" w:eastAsia="Times New Roman" w:hAnsi="Titillium" w:cs="Calibri"/>
          <w:bCs/>
          <w:sz w:val="18"/>
          <w:szCs w:val="18"/>
          <w:highlight w:val="white"/>
          <w:lang w:eastAsia="en-US"/>
        </w:rPr>
      </w:pPr>
      <w:r>
        <w:rPr>
          <w:rFonts w:ascii="Titillium" w:eastAsia="Times New Roman" w:hAnsi="Titillium" w:cs="Calibri"/>
          <w:bCs/>
          <w:sz w:val="18"/>
          <w:szCs w:val="18"/>
          <w:highlight w:val="white"/>
          <w:lang w:eastAsia="en-US"/>
        </w:rPr>
        <w:t>disporre di un s</w:t>
      </w:r>
      <w:r w:rsidRPr="009C6153">
        <w:rPr>
          <w:rFonts w:ascii="Titillium" w:eastAsia="Times New Roman" w:hAnsi="Titillium" w:cs="Calibri"/>
          <w:bCs/>
          <w:sz w:val="18"/>
          <w:szCs w:val="18"/>
          <w:highlight w:val="white"/>
          <w:lang w:eastAsia="en-US"/>
        </w:rPr>
        <w:t xml:space="preserve">istema pubblico per la gestione dell’identità digitale (SPID) di cui all’articolo 64 del decreto legislativo 7 marzo 2005, n. 82 o </w:t>
      </w:r>
      <w:r w:rsidRPr="001F3065">
        <w:rPr>
          <w:rFonts w:ascii="Titillium" w:eastAsia="Times New Roman" w:hAnsi="Titillium" w:cs="Calibri"/>
          <w:bCs/>
          <w:sz w:val="18"/>
          <w:szCs w:val="18"/>
          <w:highlight w:val="white"/>
          <w:lang w:eastAsia="en-US"/>
        </w:rPr>
        <w:t>di altri mezzi di identificazione elettronica per il riconoscimento reciproco transfrontaliero ai sensi del Regolamento eIDAS;</w:t>
      </w:r>
    </w:p>
    <w:p w14:paraId="5C816CF6" w14:textId="77777777" w:rsidR="00276DF7" w:rsidRPr="001F3065" w:rsidRDefault="00276DF7" w:rsidP="00276DF7">
      <w:pPr>
        <w:pStyle w:val="Default"/>
        <w:numPr>
          <w:ilvl w:val="1"/>
          <w:numId w:val="19"/>
        </w:numPr>
        <w:shd w:val="clear" w:color="auto" w:fill="F2F2F2" w:themeFill="background1" w:themeFillShade="F2"/>
        <w:tabs>
          <w:tab w:val="left" w:pos="360"/>
        </w:tabs>
        <w:ind w:left="709"/>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avere un </w:t>
      </w:r>
      <w:r>
        <w:rPr>
          <w:rFonts w:ascii="Titillium" w:eastAsia="Times New Roman" w:hAnsi="Titillium" w:cs="Calibri"/>
          <w:bCs/>
          <w:sz w:val="18"/>
          <w:szCs w:val="18"/>
          <w:highlight w:val="white"/>
          <w:lang w:eastAsia="en-US"/>
        </w:rPr>
        <w:t xml:space="preserve">domicilio digitale presente negli indici di cui agli articoli 6-bis e 6-ter del </w:t>
      </w:r>
      <w:r w:rsidRPr="009C6153">
        <w:rPr>
          <w:rFonts w:ascii="Titillium" w:eastAsia="Times New Roman" w:hAnsi="Titillium" w:cs="Calibri"/>
          <w:bCs/>
          <w:sz w:val="18"/>
          <w:szCs w:val="18"/>
          <w:highlight w:val="white"/>
          <w:lang w:eastAsia="en-US"/>
        </w:rPr>
        <w:t xml:space="preserve">decreto legislativo 7 marzo 2005, n. 82 </w:t>
      </w:r>
      <w:r w:rsidRPr="001F3065">
        <w:rPr>
          <w:rFonts w:ascii="Titillium" w:eastAsia="Times New Roman" w:hAnsi="Titillium" w:cs="Calibri"/>
          <w:bCs/>
          <w:sz w:val="18"/>
          <w:szCs w:val="18"/>
          <w:highlight w:val="white"/>
          <w:lang w:eastAsia="en-US"/>
        </w:rPr>
        <w:t>o, per l’operatore economico transfrontaliero, un indirizzo di servizio elettronico di recapito certificato qualificato ai sensi del Regolamento eIDAS;</w:t>
      </w:r>
    </w:p>
    <w:p w14:paraId="6C3DF1DB" w14:textId="77777777" w:rsidR="00276DF7" w:rsidRPr="001F3065" w:rsidRDefault="00276DF7" w:rsidP="00276DF7">
      <w:pPr>
        <w:pStyle w:val="Default"/>
        <w:numPr>
          <w:ilvl w:val="1"/>
          <w:numId w:val="19"/>
        </w:numPr>
        <w:shd w:val="clear" w:color="auto" w:fill="F2F2F2" w:themeFill="background1" w:themeFillShade="F2"/>
        <w:tabs>
          <w:tab w:val="left" w:pos="360"/>
        </w:tabs>
        <w:ind w:left="709"/>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avere da parte del legale rappresentante dell’operatore economico (o da persona munita di idonei poteri di firma) un certificato di firma digitale, in corso di validità, rilasciato da:</w:t>
      </w:r>
    </w:p>
    <w:p w14:paraId="1F744C42" w14:textId="77777777" w:rsidR="00276DF7" w:rsidRPr="001F3065" w:rsidRDefault="00276DF7" w:rsidP="00276DF7">
      <w:pPr>
        <w:pStyle w:val="Default"/>
        <w:numPr>
          <w:ilvl w:val="1"/>
          <w:numId w:val="18"/>
        </w:numPr>
        <w:shd w:val="clear" w:color="auto" w:fill="F2F2F2" w:themeFill="background1" w:themeFillShade="F2"/>
        <w:tabs>
          <w:tab w:val="left" w:pos="360"/>
        </w:tabs>
        <w:ind w:left="1134"/>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un organismo incluso nell’elenco pubblico dei certificatori tenuto dall’Agenzia per l’Italia Digitale (previsto dall’articolo 29 del decreto legislativo n. 82/05); </w:t>
      </w:r>
    </w:p>
    <w:p w14:paraId="4B9E3074" w14:textId="77777777" w:rsidR="00276DF7" w:rsidRPr="001F3065" w:rsidRDefault="00276DF7" w:rsidP="00276DF7">
      <w:pPr>
        <w:pStyle w:val="Default"/>
        <w:numPr>
          <w:ilvl w:val="1"/>
          <w:numId w:val="18"/>
        </w:numPr>
        <w:shd w:val="clear" w:color="auto" w:fill="F2F2F2" w:themeFill="background1" w:themeFillShade="F2"/>
        <w:tabs>
          <w:tab w:val="left" w:pos="360"/>
        </w:tabs>
        <w:ind w:left="1134"/>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un certificatore operante in base a una licenza o autorizzazione rilasciata da uno Stato membro dell’Unione europea e in possesso dei requisiti previsti dal </w:t>
      </w:r>
      <w:r w:rsidRPr="001F3065">
        <w:rPr>
          <w:rFonts w:ascii="Titillium" w:eastAsia="Times New Roman" w:hAnsi="Titillium" w:cs="Calibri"/>
          <w:bCs/>
          <w:sz w:val="18"/>
          <w:szCs w:val="18"/>
          <w:highlight w:val="white"/>
          <w:lang w:eastAsia="en-US"/>
        </w:rPr>
        <w:lastRenderedPageBreak/>
        <w:t xml:space="preserve">Regolamento n. 910/14; </w:t>
      </w:r>
    </w:p>
    <w:p w14:paraId="0EB5BFFD" w14:textId="77777777" w:rsidR="00276DF7" w:rsidRDefault="00276DF7" w:rsidP="00276DF7">
      <w:pPr>
        <w:pStyle w:val="Default"/>
        <w:numPr>
          <w:ilvl w:val="1"/>
          <w:numId w:val="18"/>
        </w:numPr>
        <w:shd w:val="clear" w:color="auto" w:fill="F2F2F2" w:themeFill="background1" w:themeFillShade="F2"/>
        <w:tabs>
          <w:tab w:val="left" w:pos="360"/>
        </w:tabs>
        <w:ind w:left="1134"/>
      </w:pPr>
      <w:r w:rsidRPr="001F3065">
        <w:rPr>
          <w:rFonts w:ascii="Titillium" w:eastAsia="Times New Roman" w:hAnsi="Titillium" w:cs="Calibri"/>
          <w:bCs/>
          <w:sz w:val="18"/>
          <w:szCs w:val="18"/>
          <w:highlight w:val="white"/>
          <w:lang w:eastAsia="en-US"/>
        </w:rPr>
        <w:t>un certificatore stabilito in uno Stato non facente parte dell’Unione europea quando ricorre una delle seguenti condizioni</w:t>
      </w:r>
      <w:r>
        <w:rPr>
          <w:rFonts w:ascii="Titillium" w:eastAsia="Times New Roman" w:hAnsi="Titillium" w:cs="Calibri"/>
          <w:bCs/>
          <w:iCs/>
          <w:sz w:val="18"/>
          <w:szCs w:val="18"/>
          <w:highlight w:val="white"/>
        </w:rPr>
        <w:t xml:space="preserve">: </w:t>
      </w:r>
    </w:p>
    <w:p w14:paraId="6D930B53" w14:textId="77777777" w:rsidR="00276DF7" w:rsidRDefault="00276DF7" w:rsidP="00276DF7">
      <w:pPr>
        <w:pStyle w:val="Default"/>
        <w:numPr>
          <w:ilvl w:val="0"/>
          <w:numId w:val="41"/>
        </w:numPr>
        <w:shd w:val="clear" w:color="auto" w:fill="F2F2F2" w:themeFill="background1" w:themeFillShade="F2"/>
      </w:pPr>
      <w:r>
        <w:rPr>
          <w:rFonts w:ascii="Titillium" w:eastAsia="Times New Roman" w:hAnsi="Titillium" w:cs="Calibri"/>
          <w:bCs/>
          <w:iCs/>
          <w:sz w:val="18"/>
          <w:szCs w:val="18"/>
          <w:highlight w:val="white"/>
        </w:rPr>
        <w:t xml:space="preserve">il certificatore possiede i requisiti previsti dal Regolamento </w:t>
      </w:r>
      <w:r>
        <w:rPr>
          <w:rFonts w:ascii="Titillium" w:hAnsi="Titillium" w:cs="Calibri"/>
          <w:bCs/>
          <w:iCs/>
          <w:sz w:val="18"/>
          <w:szCs w:val="18"/>
        </w:rPr>
        <w:t xml:space="preserve">n. 910/14 </w:t>
      </w:r>
      <w:r>
        <w:rPr>
          <w:rFonts w:ascii="Titillium" w:eastAsia="Times New Roman" w:hAnsi="Titillium" w:cs="Calibri"/>
          <w:bCs/>
          <w:iCs/>
          <w:sz w:val="18"/>
          <w:szCs w:val="18"/>
          <w:highlight w:val="white"/>
        </w:rPr>
        <w:t xml:space="preserve">ed è qualificato in uno stato membro; </w:t>
      </w:r>
    </w:p>
    <w:p w14:paraId="3D2654C1" w14:textId="77777777" w:rsidR="00276DF7" w:rsidRDefault="00276DF7" w:rsidP="00276DF7">
      <w:pPr>
        <w:pStyle w:val="Default"/>
        <w:numPr>
          <w:ilvl w:val="0"/>
          <w:numId w:val="41"/>
        </w:numPr>
        <w:shd w:val="clear" w:color="auto" w:fill="F2F2F2" w:themeFill="background1" w:themeFillShade="F2"/>
        <w:rPr>
          <w:rFonts w:ascii="Titillium" w:eastAsia="Times New Roman" w:hAnsi="Titillium" w:cs="Calibri"/>
          <w:bCs/>
          <w:iCs/>
          <w:sz w:val="18"/>
          <w:szCs w:val="18"/>
          <w:highlight w:val="white"/>
        </w:rPr>
      </w:pPr>
      <w:r>
        <w:rPr>
          <w:rFonts w:ascii="Titillium" w:eastAsia="Times New Roman" w:hAnsi="Titillium" w:cs="Calibri"/>
          <w:bCs/>
          <w:iCs/>
          <w:sz w:val="18"/>
          <w:szCs w:val="18"/>
          <w:highlight w:val="white"/>
        </w:rPr>
        <w:t xml:space="preserve">il certificato qualificato è garantito da un certificatore stabilito nell’Unione Europea, in possesso dei requisiti di cui al regolamento n. 9100/14; </w:t>
      </w:r>
    </w:p>
    <w:p w14:paraId="028E55A5" w14:textId="77777777" w:rsidR="00276DF7" w:rsidRDefault="00276DF7" w:rsidP="00276DF7">
      <w:pPr>
        <w:pStyle w:val="Default"/>
        <w:numPr>
          <w:ilvl w:val="0"/>
          <w:numId w:val="41"/>
        </w:numPr>
        <w:shd w:val="clear" w:color="auto" w:fill="F2F2F2" w:themeFill="background1" w:themeFillShade="F2"/>
        <w:rPr>
          <w:rFonts w:ascii="Titillium" w:eastAsia="Times New Roman" w:hAnsi="Titillium" w:cs="Calibri"/>
          <w:bCs/>
          <w:iCs/>
          <w:sz w:val="18"/>
          <w:szCs w:val="18"/>
          <w:highlight w:val="white"/>
        </w:rPr>
      </w:pPr>
      <w:r>
        <w:rPr>
          <w:rFonts w:ascii="Titillium" w:eastAsia="Times New Roman" w:hAnsi="Titillium" w:cs="Calibri"/>
          <w:bCs/>
          <w:iCs/>
          <w:sz w:val="18"/>
          <w:szCs w:val="18"/>
          <w:highlight w:val="white"/>
        </w:rPr>
        <w:t xml:space="preserve">il certificato qualificato, o il certificatore, è riconosciuto in forza di un accordo bilaterale o multilaterale tra l’Unione Europea e paesi terzi o organizzazioni internazionali. </w:t>
      </w:r>
    </w:p>
    <w:p w14:paraId="29785324" w14:textId="77777777" w:rsidR="00276DF7" w:rsidRPr="00CE2140" w:rsidRDefault="00276DF7" w:rsidP="00276DF7">
      <w:pPr>
        <w:pStyle w:val="Titolo3"/>
        <w:numPr>
          <w:ilvl w:val="1"/>
          <w:numId w:val="4"/>
        </w:numPr>
        <w:shd w:val="clear" w:color="auto" w:fill="F2F2F2" w:themeFill="background1" w:themeFillShade="F2"/>
        <w:ind w:left="426"/>
        <w:rPr>
          <w:rFonts w:ascii="Titillium" w:hAnsi="Titillium"/>
          <w:iCs/>
          <w:caps w:val="0"/>
          <w:sz w:val="18"/>
          <w:szCs w:val="18"/>
        </w:rPr>
      </w:pPr>
      <w:bookmarkStart w:id="161" w:name="_Toc139549412"/>
      <w:r>
        <w:rPr>
          <w:rFonts w:ascii="Titillium" w:hAnsi="Titillium"/>
          <w:iCs/>
          <w:caps w:val="0"/>
          <w:sz w:val="18"/>
          <w:szCs w:val="18"/>
        </w:rPr>
        <w:t>IDENTIFICAZIONE</w:t>
      </w:r>
      <w:bookmarkEnd w:id="161"/>
    </w:p>
    <w:p w14:paraId="081A4867" w14:textId="77777777" w:rsidR="00276DF7" w:rsidRDefault="00276DF7" w:rsidP="00276DF7">
      <w:pPr>
        <w:shd w:val="clear" w:color="auto" w:fill="F2F2F2" w:themeFill="background1" w:themeFillShade="F2"/>
        <w:rPr>
          <w:rFonts w:ascii="Titillium" w:hAnsi="Titillium" w:cs="Calibri"/>
          <w:bCs/>
          <w:iCs/>
          <w:sz w:val="18"/>
          <w:szCs w:val="18"/>
        </w:rPr>
      </w:pPr>
      <w:r>
        <w:rPr>
          <w:rFonts w:ascii="Titillium" w:hAnsi="Titillium" w:cs="Calibri"/>
          <w:bCs/>
          <w:iCs/>
          <w:sz w:val="18"/>
          <w:szCs w:val="18"/>
        </w:rPr>
        <w:t>Per poter presentare offerta è necessario accedere alla Piattaforma.</w:t>
      </w:r>
    </w:p>
    <w:p w14:paraId="735843FF" w14:textId="77777777" w:rsidR="00276DF7" w:rsidRDefault="00276DF7" w:rsidP="00276DF7">
      <w:pPr>
        <w:shd w:val="clear" w:color="auto" w:fill="F2F2F2" w:themeFill="background1" w:themeFillShade="F2"/>
        <w:rPr>
          <w:rFonts w:ascii="Titillium" w:hAnsi="Titillium"/>
          <w:sz w:val="18"/>
          <w:szCs w:val="18"/>
        </w:rPr>
      </w:pPr>
      <w:r>
        <w:rPr>
          <w:rFonts w:ascii="Titillium" w:hAnsi="Titillium"/>
          <w:sz w:val="18"/>
          <w:szCs w:val="18"/>
        </w:rPr>
        <w:t xml:space="preserve">L’accesso è gratuito ed è consentito a seguito dell’identificazione dell’operatore economico. </w:t>
      </w:r>
    </w:p>
    <w:p w14:paraId="1C3590C4" w14:textId="77777777" w:rsidR="00276DF7" w:rsidRDefault="00276DF7" w:rsidP="00276DF7">
      <w:pPr>
        <w:shd w:val="clear" w:color="auto" w:fill="F2F2F2" w:themeFill="background1" w:themeFillShade="F2"/>
      </w:pPr>
      <w:r>
        <w:rPr>
          <w:rFonts w:ascii="Titillium" w:hAnsi="Titillium"/>
          <w:sz w:val="18"/>
          <w:szCs w:val="18"/>
        </w:rPr>
        <w:t>L’identificazione avviene o mediante i</w:t>
      </w:r>
      <w:r w:rsidRPr="009651A3">
        <w:rPr>
          <w:rFonts w:ascii="Titillium" w:hAnsi="Titillium"/>
          <w:sz w:val="18"/>
          <w:szCs w:val="18"/>
        </w:rPr>
        <w:t>l sistema pubblico per la gestione dell’identità digitale di cittadini e imprese (SPID</w:t>
      </w:r>
      <w:r>
        <w:rPr>
          <w:rFonts w:ascii="Titillium" w:hAnsi="Titillium"/>
          <w:sz w:val="18"/>
          <w:szCs w:val="18"/>
        </w:rPr>
        <w:t>)</w:t>
      </w:r>
      <w:r w:rsidRPr="009651A3">
        <w:rPr>
          <w:rFonts w:ascii="Titillium" w:hAnsi="Titillium"/>
          <w:sz w:val="18"/>
          <w:szCs w:val="18"/>
        </w:rPr>
        <w:t xml:space="preserve"> o </w:t>
      </w:r>
      <w:r>
        <w:rPr>
          <w:rFonts w:ascii="Titillium" w:hAnsi="Titillium"/>
          <w:sz w:val="18"/>
          <w:szCs w:val="18"/>
        </w:rPr>
        <w:t>attraverso gli altri mezzi di identificazione elettronica per il riconoscimento reciproco transfrontaliero ai sensi del Regolamento eIDAS.</w:t>
      </w:r>
    </w:p>
    <w:p w14:paraId="4DFF5DE2" w14:textId="77777777" w:rsidR="00276DF7" w:rsidRDefault="00276DF7" w:rsidP="00276DF7">
      <w:pPr>
        <w:pStyle w:val="Default"/>
        <w:shd w:val="clear" w:color="auto" w:fill="F2F2F2" w:themeFill="background1" w:themeFillShade="F2"/>
        <w:tabs>
          <w:tab w:val="left" w:pos="0"/>
        </w:tabs>
        <w:spacing w:before="60" w:after="60"/>
        <w:rPr>
          <w:rFonts w:ascii="Titillium" w:hAnsi="Titillium"/>
          <w:sz w:val="18"/>
          <w:szCs w:val="18"/>
        </w:rPr>
      </w:pPr>
      <w:r>
        <w:rPr>
          <w:rFonts w:ascii="Titillium" w:hAnsi="Titillium"/>
          <w:sz w:val="18"/>
          <w:szCs w:val="18"/>
        </w:rPr>
        <w:t xml:space="preserve">Una volta completata la procedura di identificazione, ad ogni operatore economico identificato viene attribuito un profilo da utilizzare nella procedura di gara. </w:t>
      </w:r>
    </w:p>
    <w:p w14:paraId="58C18729" w14:textId="77777777" w:rsidR="00276DF7" w:rsidRPr="001035D6" w:rsidRDefault="00276DF7" w:rsidP="00276DF7">
      <w:pPr>
        <w:shd w:val="clear" w:color="auto" w:fill="F2F2F2" w:themeFill="background1" w:themeFillShade="F2"/>
        <w:tabs>
          <w:tab w:val="left" w:pos="0"/>
        </w:tabs>
        <w:spacing w:before="60" w:after="60"/>
        <w:rPr>
          <w:i/>
        </w:rPr>
      </w:pPr>
      <w:r w:rsidRPr="00FF0BFA">
        <w:rPr>
          <w:rFonts w:ascii="Titillium" w:hAnsi="Titillium" w:cs="Calibri"/>
          <w:b/>
          <w:i/>
          <w:sz w:val="18"/>
          <w:szCs w:val="18"/>
        </w:rPr>
        <w:t>[Facoltativa]</w:t>
      </w:r>
      <w:r>
        <w:rPr>
          <w:rFonts w:ascii="Titillium" w:hAnsi="Titillium" w:cs="Calibri"/>
          <w:sz w:val="18"/>
          <w:szCs w:val="18"/>
        </w:rPr>
        <w:t xml:space="preserve"> Eventuali richieste di assistenza di tipo informatico riguardanti l’identificazione e l’accesso alla Piattaforma devono essere effettuate </w:t>
      </w:r>
      <w:r w:rsidRPr="001035D6">
        <w:rPr>
          <w:rFonts w:ascii="Titillium" w:hAnsi="Titillium" w:cs="Calibri"/>
          <w:i/>
          <w:sz w:val="18"/>
          <w:szCs w:val="18"/>
        </w:rPr>
        <w:t>[inserire le modalità per richiedere assis</w:t>
      </w:r>
      <w:r>
        <w:rPr>
          <w:rFonts w:ascii="Titillium" w:hAnsi="Titillium" w:cs="Calibri"/>
          <w:i/>
          <w:sz w:val="18"/>
          <w:szCs w:val="18"/>
        </w:rPr>
        <w:t xml:space="preserve">tenza, ad esempio contattando il </w:t>
      </w:r>
      <w:r w:rsidRPr="001035D6">
        <w:rPr>
          <w:rFonts w:ascii="Titillium" w:hAnsi="Titillium" w:cs="Calibri"/>
          <w:i/>
          <w:sz w:val="18"/>
          <w:szCs w:val="18"/>
        </w:rPr>
        <w:t>call center ovvero il servizio a ciò deputato al numero ... nei seguenti orari ... oppure inviando un’e-mail al seguente indirizzo …]</w:t>
      </w:r>
      <w:r>
        <w:rPr>
          <w:rFonts w:ascii="Titillium" w:hAnsi="Titillium" w:cs="Calibri"/>
          <w:i/>
          <w:sz w:val="18"/>
          <w:szCs w:val="18"/>
        </w:rPr>
        <w:t>.</w:t>
      </w:r>
    </w:p>
    <w:p w14:paraId="136B047E" w14:textId="77777777" w:rsidR="00276DF7" w:rsidRPr="001B7E2D" w:rsidRDefault="00276DF7" w:rsidP="00276DF7">
      <w:pPr>
        <w:pStyle w:val="Default"/>
        <w:shd w:val="clear" w:color="auto" w:fill="F2F2F2" w:themeFill="background1" w:themeFillShade="F2"/>
        <w:ind w:left="1277"/>
        <w:rPr>
          <w:rFonts w:ascii="Titillium" w:hAnsi="Titillium" w:cs="Calibri"/>
          <w:bCs/>
          <w:iCs/>
          <w:sz w:val="18"/>
          <w:szCs w:val="18"/>
          <w:highlight w:val="white"/>
        </w:rPr>
      </w:pPr>
    </w:p>
    <w:tbl>
      <w:tblPr>
        <w:tblW w:w="9459" w:type="dxa"/>
        <w:tblInd w:w="-108" w:type="dxa"/>
        <w:tblLook w:val="04A0" w:firstRow="1" w:lastRow="0" w:firstColumn="1" w:lastColumn="0" w:noHBand="0" w:noVBand="1"/>
      </w:tblPr>
      <w:tblGrid>
        <w:gridCol w:w="9459"/>
      </w:tblGrid>
      <w:tr w:rsidR="00276DF7" w:rsidRPr="001B7E2D" w14:paraId="63120923" w14:textId="77777777" w:rsidTr="00EA5131">
        <w:tc>
          <w:tcPr>
            <w:tcW w:w="9459" w:type="dxa"/>
            <w:tcBorders>
              <w:top w:val="single" w:sz="4" w:space="0" w:color="000000"/>
              <w:left w:val="single" w:sz="4" w:space="0" w:color="000000"/>
              <w:bottom w:val="single" w:sz="4" w:space="0" w:color="000000"/>
              <w:right w:val="single" w:sz="4" w:space="0" w:color="000000"/>
            </w:tcBorders>
          </w:tcPr>
          <w:p w14:paraId="0B980C06" w14:textId="77777777" w:rsidR="00276DF7" w:rsidRPr="00DC299E" w:rsidRDefault="00276DF7" w:rsidP="00276DF7">
            <w:pPr>
              <w:pStyle w:val="Default"/>
              <w:shd w:val="clear" w:color="auto" w:fill="F2F2F2" w:themeFill="background1" w:themeFillShade="F2"/>
              <w:rPr>
                <w:rFonts w:ascii="Titillium" w:hAnsi="Titillium" w:cs="Calibri"/>
                <w:bCs/>
                <w:i/>
                <w:iCs/>
                <w:sz w:val="18"/>
                <w:szCs w:val="18"/>
              </w:rPr>
            </w:pPr>
            <w:r w:rsidRPr="00DC299E">
              <w:rPr>
                <w:rFonts w:ascii="Titillium" w:hAnsi="Titillium" w:cs="Calibri"/>
                <w:bCs/>
                <w:i/>
                <w:iCs/>
                <w:sz w:val="18"/>
                <w:szCs w:val="18"/>
              </w:rPr>
              <w:t>N.B.  Nelle more dell’efficacia delle disposizioni del Codice sulla digitalizzazione dei contratti pubblici, le stazioni appaltanti valutano sulla base delle caratteristiche tecniche della piattaforma utilizzata se consentire l’accesso alla stessa anche tramite il rilascio di specifiche credenziali e/o mediante una o più del</w:t>
            </w:r>
            <w:r w:rsidRPr="00DC299E">
              <w:rPr>
                <w:rFonts w:ascii="Titillium" w:eastAsia="Times New Roman" w:hAnsi="Titillium" w:cs="Calibri"/>
                <w:bCs/>
                <w:i/>
                <w:sz w:val="18"/>
                <w:szCs w:val="18"/>
                <w:lang w:eastAsia="en-US"/>
              </w:rPr>
              <w:t xml:space="preserve">le seguenti modalità di identificazione digitale: carta d’identità elettronica (CIE) di cui all’articolo 66 del decreto legislativo 7 marzo 2005, n. 82 o carta Nazionale dei Servizi (CNS) di cui all’articolo 66 del medesimo decreto legislativo, </w:t>
            </w:r>
            <w:r w:rsidRPr="00DC299E">
              <w:rPr>
                <w:rFonts w:ascii="Titillium" w:hAnsi="Titillium" w:cs="Calibri"/>
                <w:bCs/>
                <w:i/>
                <w:iCs/>
                <w:sz w:val="18"/>
                <w:szCs w:val="18"/>
              </w:rPr>
              <w:t>modificando in tal caso la lettera b) dell’articolo 1.2</w:t>
            </w:r>
            <w:r w:rsidRPr="00DC299E">
              <w:rPr>
                <w:rFonts w:ascii="Titillium" w:eastAsia="Times New Roman" w:hAnsi="Titillium" w:cs="Calibri"/>
                <w:bCs/>
                <w:sz w:val="18"/>
                <w:szCs w:val="18"/>
                <w:lang w:eastAsia="en-US"/>
              </w:rPr>
              <w:t xml:space="preserve">. </w:t>
            </w:r>
          </w:p>
        </w:tc>
      </w:tr>
    </w:tbl>
    <w:p w14:paraId="45F55E14" w14:textId="77777777" w:rsidR="00276DF7" w:rsidRPr="00084AD6" w:rsidRDefault="00276DF7" w:rsidP="00276DF7">
      <w:pPr>
        <w:pStyle w:val="Titolo2"/>
        <w:numPr>
          <w:ilvl w:val="0"/>
          <w:numId w:val="4"/>
        </w:numPr>
        <w:shd w:val="clear" w:color="auto" w:fill="F2F2F2" w:themeFill="background1" w:themeFillShade="F2"/>
        <w:spacing w:after="200"/>
        <w:ind w:left="357" w:hanging="357"/>
        <w:rPr>
          <w:rFonts w:ascii="Titillium" w:hAnsi="Titillium"/>
          <w:caps w:val="0"/>
          <w:sz w:val="18"/>
          <w:szCs w:val="18"/>
        </w:rPr>
      </w:pPr>
      <w:bookmarkStart w:id="162" w:name="_Toc482101909"/>
      <w:bookmarkStart w:id="163" w:name="_Toc139549413"/>
      <w:bookmarkEnd w:id="162"/>
      <w:r w:rsidRPr="00084AD6">
        <w:rPr>
          <w:rFonts w:ascii="Titillium" w:hAnsi="Titillium"/>
          <w:caps w:val="0"/>
          <w:sz w:val="18"/>
          <w:szCs w:val="18"/>
        </w:rPr>
        <w:t>DOCUMENTAZIONE DI GARA, CHIARIMENTI E COMUNICAZIONI</w:t>
      </w:r>
      <w:bookmarkEnd w:id="163"/>
    </w:p>
    <w:p w14:paraId="7127015A" w14:textId="77777777" w:rsidR="00276DF7" w:rsidRPr="00352F6C" w:rsidRDefault="00276DF7" w:rsidP="00276DF7">
      <w:pPr>
        <w:pStyle w:val="Titolo3"/>
        <w:numPr>
          <w:ilvl w:val="1"/>
          <w:numId w:val="4"/>
        </w:numPr>
        <w:shd w:val="clear" w:color="auto" w:fill="F2F2F2" w:themeFill="background1" w:themeFillShade="F2"/>
        <w:ind w:left="142" w:hanging="142"/>
        <w:rPr>
          <w:rFonts w:ascii="Titillium" w:hAnsi="Titillium"/>
          <w:iCs/>
          <w:sz w:val="18"/>
          <w:szCs w:val="18"/>
        </w:rPr>
      </w:pPr>
      <w:bookmarkStart w:id="164" w:name="_Ref138082059"/>
      <w:bookmarkStart w:id="165" w:name="_Toc139549414"/>
      <w:r w:rsidRPr="00352F6C">
        <w:rPr>
          <w:rFonts w:ascii="Titillium" w:hAnsi="Titillium"/>
          <w:iCs/>
          <w:sz w:val="18"/>
          <w:szCs w:val="18"/>
        </w:rPr>
        <w:t>DOCUMENTI DI GARA</w:t>
      </w:r>
      <w:bookmarkEnd w:id="164"/>
      <w:bookmarkEnd w:id="165"/>
    </w:p>
    <w:p w14:paraId="006BBC9B" w14:textId="77777777" w:rsidR="00276DF7" w:rsidRDefault="00276DF7" w:rsidP="00276DF7">
      <w:pPr>
        <w:shd w:val="clear" w:color="auto" w:fill="F2F2F2" w:themeFill="background1" w:themeFillShade="F2"/>
        <w:spacing w:before="60" w:after="60"/>
        <w:rPr>
          <w:rFonts w:ascii="Titillium" w:hAnsi="Titillium" w:cs="Calibri"/>
          <w:sz w:val="18"/>
          <w:szCs w:val="18"/>
        </w:rPr>
      </w:pPr>
    </w:p>
    <w:p w14:paraId="402F30CB"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La documentazione di gara comprende:</w:t>
      </w:r>
    </w:p>
    <w:p w14:paraId="6D6FB536" w14:textId="77777777" w:rsidR="00276DF7" w:rsidRDefault="00276DF7" w:rsidP="00276DF7">
      <w:pPr>
        <w:numPr>
          <w:ilvl w:val="2"/>
          <w:numId w:val="20"/>
        </w:numPr>
        <w:shd w:val="clear" w:color="auto" w:fill="F2F2F2" w:themeFill="background1" w:themeFillShade="F2"/>
        <w:spacing w:before="60" w:after="60" w:line="276" w:lineRule="auto"/>
        <w:ind w:left="709" w:hanging="283"/>
        <w:rPr>
          <w:rFonts w:ascii="Titillium" w:hAnsi="Titillium" w:cs="Calibri"/>
          <w:bCs/>
          <w:iCs/>
          <w:sz w:val="18"/>
          <w:szCs w:val="18"/>
          <w:lang w:eastAsia="it-IT"/>
        </w:rPr>
      </w:pPr>
      <w:r>
        <w:rPr>
          <w:rFonts w:ascii="Titillium" w:hAnsi="Titillium" w:cs="Calibri"/>
          <w:bCs/>
          <w:iCs/>
          <w:sz w:val="18"/>
          <w:szCs w:val="18"/>
          <w:lang w:eastAsia="it-IT"/>
        </w:rPr>
        <w:t>bando di gara;</w:t>
      </w:r>
    </w:p>
    <w:p w14:paraId="7187B946" w14:textId="77777777" w:rsidR="00276DF7" w:rsidRDefault="00276DF7" w:rsidP="00276DF7">
      <w:pPr>
        <w:numPr>
          <w:ilvl w:val="2"/>
          <w:numId w:val="20"/>
        </w:numPr>
        <w:shd w:val="clear" w:color="auto" w:fill="F2F2F2" w:themeFill="background1" w:themeFillShade="F2"/>
        <w:spacing w:before="60" w:after="60" w:line="276" w:lineRule="auto"/>
        <w:ind w:left="709" w:hanging="283"/>
        <w:jc w:val="both"/>
        <w:rPr>
          <w:rFonts w:ascii="Titillium" w:hAnsi="Titillium" w:cs="Calibri"/>
          <w:bCs/>
          <w:iCs/>
          <w:sz w:val="18"/>
          <w:szCs w:val="18"/>
          <w:lang w:eastAsia="it-IT"/>
        </w:rPr>
      </w:pPr>
      <w:r>
        <w:rPr>
          <w:rFonts w:ascii="Titillium" w:hAnsi="Titillium" w:cs="Calibri"/>
          <w:bCs/>
          <w:iCs/>
          <w:sz w:val="18"/>
          <w:szCs w:val="18"/>
          <w:lang w:eastAsia="it-IT"/>
        </w:rPr>
        <w:t xml:space="preserve">disciplinare di gara; </w:t>
      </w:r>
    </w:p>
    <w:p w14:paraId="7EDB988E" w14:textId="77777777" w:rsidR="00276DF7" w:rsidRPr="001B0323" w:rsidRDefault="00276DF7" w:rsidP="00276DF7">
      <w:pPr>
        <w:numPr>
          <w:ilvl w:val="2"/>
          <w:numId w:val="20"/>
        </w:numPr>
        <w:shd w:val="clear" w:color="auto" w:fill="F2F2F2" w:themeFill="background1" w:themeFillShade="F2"/>
        <w:spacing w:before="60" w:after="60" w:line="276" w:lineRule="auto"/>
        <w:ind w:left="709" w:hanging="283"/>
        <w:jc w:val="both"/>
        <w:rPr>
          <w:rFonts w:ascii="Titillium" w:hAnsi="Titillium" w:cs="Calibri"/>
          <w:bCs/>
          <w:iCs/>
          <w:sz w:val="18"/>
          <w:szCs w:val="18"/>
          <w:lang w:eastAsia="it-IT"/>
        </w:rPr>
      </w:pPr>
      <w:r w:rsidRPr="001B0323">
        <w:rPr>
          <w:rFonts w:ascii="Titillium" w:hAnsi="Titillium" w:cs="Calibri"/>
          <w:bCs/>
          <w:iCs/>
          <w:sz w:val="18"/>
          <w:szCs w:val="18"/>
          <w:lang w:eastAsia="it-IT"/>
        </w:rPr>
        <w:t>capitolato speciale</w:t>
      </w:r>
      <w:r>
        <w:rPr>
          <w:rFonts w:ascii="Titillium" w:hAnsi="Titillium" w:cs="Calibri"/>
          <w:bCs/>
          <w:iCs/>
          <w:sz w:val="18"/>
          <w:szCs w:val="18"/>
          <w:lang w:eastAsia="it-IT"/>
        </w:rPr>
        <w:t>;</w:t>
      </w:r>
    </w:p>
    <w:p w14:paraId="49786F9A" w14:textId="77777777" w:rsidR="00276DF7" w:rsidRPr="001B0323" w:rsidRDefault="00276DF7" w:rsidP="00276DF7">
      <w:pPr>
        <w:numPr>
          <w:ilvl w:val="2"/>
          <w:numId w:val="20"/>
        </w:numPr>
        <w:shd w:val="clear" w:color="auto" w:fill="F2F2F2" w:themeFill="background1" w:themeFillShade="F2"/>
        <w:spacing w:before="60" w:after="60" w:line="276" w:lineRule="auto"/>
        <w:ind w:left="709" w:hanging="283"/>
        <w:jc w:val="both"/>
        <w:rPr>
          <w:rFonts w:ascii="Titillium" w:hAnsi="Titillium" w:cs="Calibri"/>
          <w:bCs/>
          <w:iCs/>
          <w:sz w:val="18"/>
          <w:szCs w:val="18"/>
          <w:lang w:eastAsia="it-IT"/>
        </w:rPr>
      </w:pPr>
      <w:r w:rsidRPr="001B0323">
        <w:rPr>
          <w:rFonts w:ascii="Titillium" w:hAnsi="Titillium" w:cs="Calibri"/>
          <w:bCs/>
          <w:iCs/>
          <w:sz w:val="18"/>
          <w:szCs w:val="18"/>
          <w:lang w:eastAsia="it-IT"/>
        </w:rPr>
        <w:t>schema di contratto</w:t>
      </w:r>
      <w:r>
        <w:rPr>
          <w:rFonts w:ascii="Titillium" w:hAnsi="Titillium" w:cs="Calibri"/>
          <w:bCs/>
          <w:iCs/>
          <w:sz w:val="18"/>
          <w:szCs w:val="18"/>
          <w:lang w:eastAsia="it-IT"/>
        </w:rPr>
        <w:t>;</w:t>
      </w:r>
    </w:p>
    <w:p w14:paraId="2C5E5611" w14:textId="77777777" w:rsidR="00276DF7" w:rsidRPr="00DC299E" w:rsidRDefault="00276DF7" w:rsidP="00276DF7">
      <w:pPr>
        <w:numPr>
          <w:ilvl w:val="2"/>
          <w:numId w:val="20"/>
        </w:numPr>
        <w:shd w:val="clear" w:color="auto" w:fill="F2F2F2" w:themeFill="background1" w:themeFillShade="F2"/>
        <w:spacing w:before="60" w:after="60" w:line="276" w:lineRule="auto"/>
        <w:ind w:left="709" w:hanging="283"/>
        <w:jc w:val="both"/>
      </w:pPr>
      <w:r w:rsidRPr="00DC299E">
        <w:rPr>
          <w:rFonts w:ascii="Titillium" w:hAnsi="Titillium" w:cs="Calibri"/>
          <w:bCs/>
          <w:iCs/>
          <w:sz w:val="18"/>
          <w:szCs w:val="18"/>
          <w:lang w:eastAsia="it-IT"/>
        </w:rPr>
        <w:t>schema di domanda di partecipazione;</w:t>
      </w:r>
    </w:p>
    <w:p w14:paraId="3A188BF7" w14:textId="77777777" w:rsidR="00276DF7" w:rsidRPr="00DC299E" w:rsidRDefault="00276DF7" w:rsidP="00276DF7">
      <w:pPr>
        <w:numPr>
          <w:ilvl w:val="2"/>
          <w:numId w:val="20"/>
        </w:numPr>
        <w:shd w:val="clear" w:color="auto" w:fill="F2F2F2" w:themeFill="background1" w:themeFillShade="F2"/>
        <w:spacing w:before="60" w:after="60" w:line="276" w:lineRule="auto"/>
        <w:ind w:left="709" w:hanging="283"/>
        <w:jc w:val="both"/>
        <w:rPr>
          <w:rFonts w:ascii="Titillium" w:hAnsi="Titillium" w:cs="Calibri"/>
          <w:bCs/>
          <w:iCs/>
          <w:sz w:val="18"/>
          <w:szCs w:val="18"/>
          <w:lang w:eastAsia="it-IT"/>
        </w:rPr>
      </w:pPr>
      <w:r w:rsidRPr="00DC299E">
        <w:rPr>
          <w:rFonts w:ascii="Titillium" w:hAnsi="Titillium" w:cs="Calibri"/>
          <w:bCs/>
          <w:iCs/>
          <w:sz w:val="18"/>
          <w:szCs w:val="18"/>
          <w:lang w:eastAsia="it-IT"/>
        </w:rPr>
        <w:t>documento di gara unico europeo;</w:t>
      </w:r>
    </w:p>
    <w:p w14:paraId="5ABE48A3" w14:textId="77777777" w:rsidR="00276DF7" w:rsidRDefault="00276DF7" w:rsidP="00276DF7">
      <w:pPr>
        <w:numPr>
          <w:ilvl w:val="2"/>
          <w:numId w:val="20"/>
        </w:numPr>
        <w:shd w:val="clear" w:color="auto" w:fill="F2F2F2" w:themeFill="background1" w:themeFillShade="F2"/>
        <w:spacing w:before="60" w:after="60" w:line="276" w:lineRule="auto"/>
        <w:ind w:left="709" w:hanging="283"/>
        <w:jc w:val="both"/>
      </w:pPr>
      <w:r>
        <w:rPr>
          <w:rFonts w:ascii="Titillium" w:hAnsi="Titillium" w:cs="Book-Antiqua,Bold"/>
          <w:bCs/>
          <w:iCs/>
          <w:color w:val="000000"/>
          <w:sz w:val="18"/>
          <w:szCs w:val="18"/>
          <w:lang w:eastAsia="it-IT"/>
        </w:rPr>
        <w:t xml:space="preserve">istruzioni operative per accedere alla Piattaforma e regole tecniche per l’utilizzo della stessa </w:t>
      </w:r>
      <w:r>
        <w:rPr>
          <w:rFonts w:ascii="Titillium" w:hAnsi="Titillium" w:cs="Book-Antiqua,Bold"/>
          <w:bCs/>
          <w:i/>
          <w:iCs/>
          <w:color w:val="000000"/>
          <w:sz w:val="18"/>
          <w:szCs w:val="18"/>
          <w:lang w:eastAsia="it-IT"/>
        </w:rPr>
        <w:t>[indicare il documento nel quale sono riportate le indicazioni operative e le informazioni per accedere ed utilizzare la Piattaforma, ad esempio Istruzioni tecniche o Manuale utente ovvero il link dove è possibile trovare tale documentazione]</w:t>
      </w:r>
      <w:r>
        <w:rPr>
          <w:rFonts w:ascii="Titillium" w:hAnsi="Titillium" w:cs="Calibri"/>
          <w:bCs/>
          <w:sz w:val="18"/>
          <w:szCs w:val="18"/>
          <w:lang w:eastAsia="it-IT"/>
        </w:rPr>
        <w:t>;</w:t>
      </w:r>
    </w:p>
    <w:p w14:paraId="50F5811C" w14:textId="77777777" w:rsidR="00276DF7" w:rsidRDefault="00276DF7" w:rsidP="00276DF7">
      <w:pPr>
        <w:numPr>
          <w:ilvl w:val="2"/>
          <w:numId w:val="20"/>
        </w:numPr>
        <w:shd w:val="clear" w:color="auto" w:fill="F2F2F2" w:themeFill="background1" w:themeFillShade="F2"/>
        <w:spacing w:before="60" w:after="60" w:line="276" w:lineRule="auto"/>
        <w:ind w:left="709" w:hanging="283"/>
        <w:jc w:val="both"/>
      </w:pPr>
      <w:r w:rsidRPr="00D95F9F">
        <w:rPr>
          <w:rFonts w:ascii="Titillium" w:hAnsi="Titillium"/>
          <w:b/>
          <w:bCs/>
          <w:i/>
          <w:color w:val="000000"/>
          <w:sz w:val="18"/>
          <w:szCs w:val="18"/>
          <w:lang w:eastAsia="it-IT"/>
        </w:rPr>
        <w:t>[In caso di protocollo di legalità/patto di integrità]</w:t>
      </w:r>
      <w:r>
        <w:rPr>
          <w:rFonts w:ascii="Titillium" w:hAnsi="Titillium"/>
          <w:b/>
          <w:bCs/>
          <w:i/>
          <w:color w:val="000000"/>
          <w:sz w:val="18"/>
          <w:szCs w:val="18"/>
          <w:lang w:eastAsia="it-IT"/>
        </w:rPr>
        <w:t>]</w:t>
      </w:r>
      <w:r>
        <w:rPr>
          <w:rFonts w:ascii="Titillium" w:hAnsi="Titillium"/>
          <w:color w:val="000000"/>
          <w:sz w:val="18"/>
          <w:szCs w:val="18"/>
          <w:lang w:eastAsia="it-IT"/>
        </w:rPr>
        <w:t xml:space="preserve"> Il patto di integrità/protocollo di legalità … </w:t>
      </w:r>
      <w:r>
        <w:rPr>
          <w:rFonts w:ascii="Titillium" w:hAnsi="Titillium"/>
          <w:i/>
          <w:iCs/>
          <w:color w:val="000000"/>
          <w:sz w:val="18"/>
          <w:szCs w:val="18"/>
          <w:lang w:eastAsia="it-IT"/>
        </w:rPr>
        <w:t>[indicare il riferimento normativo o amministrativo, per esempio legge regionale n. … del ..., delibera n. … del … da cui discende l’applicazione del suddetto patto/protocollo]</w:t>
      </w:r>
      <w:r>
        <w:rPr>
          <w:rFonts w:ascii="Titillium" w:hAnsi="Titillium" w:cs="Calibri"/>
          <w:bCs/>
          <w:iCs/>
          <w:sz w:val="18"/>
          <w:szCs w:val="18"/>
          <w:lang w:eastAsia="it-IT"/>
        </w:rPr>
        <w:t>;</w:t>
      </w:r>
    </w:p>
    <w:p w14:paraId="7566FE96" w14:textId="77777777" w:rsidR="00276DF7" w:rsidRDefault="00276DF7" w:rsidP="00276DF7">
      <w:pPr>
        <w:numPr>
          <w:ilvl w:val="2"/>
          <w:numId w:val="20"/>
        </w:numPr>
        <w:shd w:val="clear" w:color="auto" w:fill="F2F2F2" w:themeFill="background1" w:themeFillShade="F2"/>
        <w:spacing w:before="60" w:after="60" w:line="276" w:lineRule="auto"/>
        <w:ind w:left="709" w:hanging="283"/>
        <w:jc w:val="both"/>
      </w:pPr>
      <w:r w:rsidRPr="001B0323">
        <w:rPr>
          <w:rFonts w:ascii="Titillium" w:hAnsi="Titillium" w:cs="Calibri"/>
          <w:bCs/>
          <w:iCs/>
          <w:sz w:val="18"/>
          <w:szCs w:val="18"/>
          <w:lang w:eastAsia="it-IT"/>
        </w:rPr>
        <w:lastRenderedPageBreak/>
        <w:t xml:space="preserve">... </w:t>
      </w:r>
      <w:r w:rsidRPr="001B0323">
        <w:rPr>
          <w:rFonts w:ascii="Titillium" w:hAnsi="Titillium" w:cs="Calibri"/>
          <w:bCs/>
          <w:i/>
          <w:iCs/>
          <w:sz w:val="18"/>
          <w:szCs w:val="18"/>
          <w:lang w:eastAsia="it-IT"/>
        </w:rPr>
        <w:t xml:space="preserve">[indicare eventuali altri allegati, ad esempio </w:t>
      </w:r>
      <w:r w:rsidRPr="00CF0C59">
        <w:rPr>
          <w:rFonts w:ascii="Titillium" w:hAnsi="Titillium" w:cs="Calibri"/>
          <w:bCs/>
          <w:i/>
          <w:iCs/>
          <w:sz w:val="18"/>
          <w:szCs w:val="18"/>
          <w:lang w:eastAsia="it-IT"/>
        </w:rPr>
        <w:t>modello/schema per la presentazione dell’offerta economica/lista prezzi/dettaglio economico, e in caso di applicazione della clausola sociale l’elenco del personale da riassorbire</w:t>
      </w:r>
      <w:r w:rsidRPr="001B0323">
        <w:rPr>
          <w:rFonts w:ascii="Titillium" w:hAnsi="Titillium" w:cs="Calibri"/>
          <w:bCs/>
          <w:i/>
          <w:iCs/>
          <w:sz w:val="18"/>
          <w:szCs w:val="18"/>
          <w:lang w:eastAsia="it-IT"/>
        </w:rPr>
        <w:t>]</w:t>
      </w:r>
      <w:r w:rsidRPr="001B0323">
        <w:rPr>
          <w:rFonts w:ascii="Titillium" w:hAnsi="Titillium" w:cs="Calibri"/>
          <w:bCs/>
          <w:iCs/>
          <w:sz w:val="18"/>
          <w:szCs w:val="18"/>
          <w:lang w:eastAsia="it-IT"/>
        </w:rPr>
        <w:t xml:space="preserve">. </w:t>
      </w:r>
    </w:p>
    <w:p w14:paraId="0B41C485" w14:textId="77777777" w:rsidR="00276DF7" w:rsidRDefault="00276DF7" w:rsidP="00276DF7">
      <w:pPr>
        <w:shd w:val="clear" w:color="auto" w:fill="F2F2F2" w:themeFill="background1" w:themeFillShade="F2"/>
        <w:spacing w:before="60" w:after="60"/>
        <w:rPr>
          <w:rFonts w:ascii="Titillium" w:hAnsi="Titillium" w:cs="Calibri"/>
          <w:i/>
          <w:sz w:val="18"/>
          <w:szCs w:val="18"/>
        </w:rPr>
      </w:pPr>
      <w:r>
        <w:rPr>
          <w:rFonts w:ascii="Titillium" w:hAnsi="Titillium" w:cs="Calibri"/>
          <w:sz w:val="18"/>
          <w:szCs w:val="18"/>
        </w:rPr>
        <w:t xml:space="preserve">La documentazione di gara è accessibile gratuitamente, sul sito istituzionale della stazione appaltante, nella sezione </w:t>
      </w:r>
      <w:r w:rsidRPr="001F0977">
        <w:rPr>
          <w:rFonts w:ascii="Titillium" w:hAnsi="Titillium" w:cs="Calibri"/>
          <w:sz w:val="18"/>
          <w:szCs w:val="18"/>
        </w:rPr>
        <w:t>“Amministrazione trasparente</w:t>
      </w:r>
      <w:r>
        <w:rPr>
          <w:rFonts w:ascii="Titillium" w:hAnsi="Titillium" w:cs="Calibri"/>
          <w:sz w:val="18"/>
          <w:szCs w:val="18"/>
        </w:rPr>
        <w:t xml:space="preserve">”, al seguente link: </w:t>
      </w:r>
      <w:r w:rsidRPr="001F0977">
        <w:rPr>
          <w:rFonts w:ascii="Titillium" w:hAnsi="Titillium" w:cs="Calibri"/>
          <w:sz w:val="18"/>
          <w:szCs w:val="18"/>
        </w:rPr>
        <w:t xml:space="preserve">... </w:t>
      </w:r>
      <w:r w:rsidRPr="001F0977">
        <w:rPr>
          <w:rFonts w:ascii="Titillium" w:hAnsi="Titillium" w:cs="Calibri"/>
          <w:i/>
          <w:sz w:val="18"/>
          <w:szCs w:val="18"/>
        </w:rPr>
        <w:t>[indicare il link dal quale è possibile consultare la documentazione]</w:t>
      </w:r>
      <w:r w:rsidRPr="001F0977">
        <w:rPr>
          <w:rFonts w:ascii="Titillium" w:hAnsi="Titillium"/>
          <w:sz w:val="18"/>
          <w:szCs w:val="18"/>
        </w:rPr>
        <w:t xml:space="preserve"> </w:t>
      </w:r>
      <w:r w:rsidRPr="001F0977">
        <w:rPr>
          <w:rFonts w:ascii="Titillium" w:hAnsi="Titillium" w:cs="Calibri"/>
          <w:sz w:val="18"/>
          <w:szCs w:val="18"/>
        </w:rPr>
        <w:t xml:space="preserve">e sulla Piattaforma … </w:t>
      </w:r>
      <w:r w:rsidRPr="001F0977">
        <w:rPr>
          <w:rFonts w:ascii="Titillium" w:hAnsi="Titillium" w:cs="Calibri"/>
          <w:i/>
          <w:sz w:val="18"/>
          <w:szCs w:val="18"/>
        </w:rPr>
        <w:t>[indicare l’apposita sezione].</w:t>
      </w:r>
    </w:p>
    <w:p w14:paraId="751CD7E3" w14:textId="77777777" w:rsidR="00276DF7" w:rsidRDefault="00276DF7" w:rsidP="00276DF7">
      <w:pPr>
        <w:pStyle w:val="Titolo3"/>
        <w:numPr>
          <w:ilvl w:val="1"/>
          <w:numId w:val="4"/>
        </w:numPr>
        <w:shd w:val="clear" w:color="auto" w:fill="F2F2F2" w:themeFill="background1" w:themeFillShade="F2"/>
        <w:ind w:left="426" w:hanging="426"/>
      </w:pPr>
      <w:bookmarkStart w:id="166" w:name="_Toc139549415"/>
      <w:r>
        <w:rPr>
          <w:rFonts w:ascii="Titillium" w:hAnsi="Titillium"/>
          <w:caps w:val="0"/>
          <w:sz w:val="18"/>
          <w:szCs w:val="18"/>
          <w:lang w:val="it-IT"/>
        </w:rPr>
        <w:t>C</w:t>
      </w:r>
      <w:r>
        <w:rPr>
          <w:rFonts w:ascii="Titillium" w:hAnsi="Titillium"/>
          <w:caps w:val="0"/>
          <w:sz w:val="18"/>
          <w:szCs w:val="18"/>
        </w:rPr>
        <w:t>HIARIMENTI</w:t>
      </w:r>
      <w:bookmarkEnd w:id="166"/>
    </w:p>
    <w:p w14:paraId="6E931ACB"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É possibile ottenere chiarimenti sulla presente procedura mediante la proposizione di quesiti scritti da inoltrare almeno … </w:t>
      </w:r>
      <w:r>
        <w:rPr>
          <w:rFonts w:ascii="Titillium" w:hAnsi="Titillium" w:cs="Calibri"/>
          <w:i/>
          <w:sz w:val="18"/>
          <w:szCs w:val="18"/>
        </w:rPr>
        <w:t>[indicare il numero di giorni, ad esempio 10]</w:t>
      </w:r>
      <w:r>
        <w:rPr>
          <w:rFonts w:ascii="Titillium" w:hAnsi="Titillium" w:cs="Calibri"/>
          <w:sz w:val="18"/>
          <w:szCs w:val="18"/>
        </w:rPr>
        <w:t xml:space="preserve"> giorni prima della scadenza del termine fissato per la presentazione delle offerte in via telematica attraverso la sezione della Piattaforma riservata alle richieste di chiarimenti </w:t>
      </w:r>
      <w:r>
        <w:rPr>
          <w:rFonts w:ascii="Titillium" w:hAnsi="Titillium" w:cs="Calibri"/>
          <w:i/>
          <w:sz w:val="18"/>
          <w:szCs w:val="18"/>
        </w:rPr>
        <w:t xml:space="preserve">[indicare </w:t>
      </w:r>
      <w:r w:rsidRPr="00F570C2">
        <w:rPr>
          <w:rFonts w:ascii="Titillium" w:hAnsi="Titillium" w:cs="Calibri"/>
          <w:i/>
          <w:sz w:val="18"/>
          <w:szCs w:val="18"/>
        </w:rPr>
        <w:t xml:space="preserve">la Sezione/Area </w:t>
      </w:r>
      <w:r>
        <w:rPr>
          <w:rFonts w:ascii="Titillium" w:hAnsi="Titillium" w:cs="Calibri"/>
          <w:i/>
          <w:sz w:val="18"/>
          <w:szCs w:val="18"/>
        </w:rPr>
        <w:t>ovvero il link all’area chiarimenti]</w:t>
      </w:r>
      <w:r>
        <w:rPr>
          <w:rFonts w:ascii="Titillium" w:hAnsi="Titillium" w:cs="Calibri"/>
          <w:sz w:val="18"/>
          <w:szCs w:val="18"/>
        </w:rPr>
        <w:t>, previa registrazione alla Piattaforma stessa.</w:t>
      </w:r>
    </w:p>
    <w:p w14:paraId="1C77DD5A" w14:textId="77777777" w:rsidR="00276DF7" w:rsidRPr="007F54F5" w:rsidRDefault="00276DF7" w:rsidP="00276DF7">
      <w:pPr>
        <w:shd w:val="clear" w:color="auto" w:fill="F2F2F2" w:themeFill="background1" w:themeFillShade="F2"/>
        <w:spacing w:before="60" w:after="60"/>
        <w:rPr>
          <w:rFonts w:ascii="Titillium" w:hAnsi="Titillium" w:cs="Calibri"/>
          <w:i/>
          <w:sz w:val="18"/>
          <w:szCs w:val="18"/>
        </w:rPr>
      </w:pPr>
      <w:r>
        <w:rPr>
          <w:rFonts w:ascii="Titillium" w:hAnsi="Titillium" w:cs="Calibri"/>
          <w:sz w:val="18"/>
          <w:szCs w:val="18"/>
        </w:rPr>
        <w:t xml:space="preserve">Le richieste di chiarimenti e le relative risposte sono formulate esclusivamente in lingua </w:t>
      </w:r>
      <w:r w:rsidRPr="007F54F5">
        <w:rPr>
          <w:rFonts w:ascii="Titillium" w:hAnsi="Titillium" w:cs="Calibri"/>
          <w:sz w:val="18"/>
          <w:szCs w:val="18"/>
        </w:rPr>
        <w:t xml:space="preserve">italiana </w:t>
      </w:r>
      <w:r w:rsidRPr="00AA3CB6">
        <w:rPr>
          <w:rFonts w:ascii="Titillium" w:hAnsi="Titillium" w:cs="Calibri"/>
          <w:i/>
          <w:iCs/>
          <w:sz w:val="18"/>
          <w:szCs w:val="18"/>
        </w:rPr>
        <w:t>[</w:t>
      </w:r>
      <w:r w:rsidRPr="007F54F5">
        <w:rPr>
          <w:rFonts w:ascii="Titillium" w:hAnsi="Titillium" w:cs="Calibri"/>
          <w:b/>
          <w:bCs/>
          <w:i/>
          <w:iCs/>
          <w:sz w:val="18"/>
          <w:szCs w:val="18"/>
        </w:rPr>
        <w:t>in alternativa</w:t>
      </w:r>
      <w:r w:rsidRPr="00AA3CB6">
        <w:rPr>
          <w:rFonts w:ascii="Titillium" w:hAnsi="Titillium" w:cs="Calibri"/>
          <w:i/>
          <w:iCs/>
          <w:sz w:val="18"/>
          <w:szCs w:val="18"/>
        </w:rPr>
        <w:t xml:space="preserve"> </w:t>
      </w:r>
      <w:r w:rsidRPr="007F54F5">
        <w:rPr>
          <w:rFonts w:ascii="Titillium" w:hAnsi="Titillium" w:cs="Calibri"/>
          <w:i/>
          <w:iCs/>
          <w:sz w:val="18"/>
          <w:szCs w:val="18"/>
        </w:rPr>
        <w:t>in caso di bilinguismo]</w:t>
      </w:r>
      <w:r w:rsidRPr="00AA3CB6">
        <w:rPr>
          <w:rFonts w:ascii="Titillium" w:hAnsi="Titillium" w:cs="Calibri"/>
          <w:sz w:val="18"/>
          <w:szCs w:val="18"/>
        </w:rPr>
        <w:t xml:space="preserve"> </w:t>
      </w:r>
      <w:r w:rsidRPr="007F54F5">
        <w:rPr>
          <w:rFonts w:ascii="Titillium" w:hAnsi="Titillium" w:cs="Calibri"/>
          <w:sz w:val="18"/>
          <w:szCs w:val="18"/>
        </w:rPr>
        <w:t xml:space="preserve">Le richieste di chiarimenti e le relative risposte sono formulate in lingua </w:t>
      </w:r>
      <w:r w:rsidRPr="007F54F5">
        <w:rPr>
          <w:rFonts w:ascii="Titillium" w:hAnsi="Titillium" w:cs="Calibri"/>
          <w:sz w:val="18"/>
          <w:szCs w:val="18"/>
          <w:lang w:eastAsia="it-IT"/>
        </w:rPr>
        <w:t>italiana [</w:t>
      </w:r>
      <w:r w:rsidRPr="007F54F5">
        <w:rPr>
          <w:rFonts w:ascii="Titillium" w:hAnsi="Titillium" w:cs="Calibri"/>
          <w:i/>
          <w:sz w:val="18"/>
          <w:szCs w:val="18"/>
          <w:lang w:eastAsia="it-IT"/>
        </w:rPr>
        <w:t>e, o specificare]</w:t>
      </w:r>
      <w:r w:rsidRPr="007F54F5">
        <w:rPr>
          <w:rFonts w:ascii="Titillium" w:hAnsi="Titillium" w:cs="Calibri"/>
          <w:sz w:val="18"/>
          <w:szCs w:val="18"/>
        </w:rPr>
        <w:t xml:space="preserve"> … </w:t>
      </w:r>
      <w:r w:rsidRPr="007F54F5">
        <w:rPr>
          <w:rFonts w:ascii="Titillium" w:hAnsi="Titillium" w:cs="Calibri"/>
          <w:i/>
          <w:sz w:val="18"/>
          <w:szCs w:val="18"/>
        </w:rPr>
        <w:t>[indicare l’altra lingua]</w:t>
      </w:r>
      <w:r w:rsidRPr="007F54F5">
        <w:rPr>
          <w:rFonts w:ascii="Titillium" w:hAnsi="Titillium" w:cs="Calibri"/>
          <w:sz w:val="18"/>
          <w:szCs w:val="18"/>
          <w:lang w:eastAsia="it-IT"/>
        </w:rPr>
        <w:t>.</w:t>
      </w:r>
    </w:p>
    <w:p w14:paraId="3D73860F"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Le risposte alle richieste di chiarimenti presentate in tempo utile sono fornite in formato elettronico almeno 6 giorni </w:t>
      </w:r>
      <w:r w:rsidRPr="00AA3CB6">
        <w:rPr>
          <w:rFonts w:ascii="Titillium" w:hAnsi="Titillium" w:cs="Calibri"/>
          <w:bCs/>
          <w:i/>
          <w:sz w:val="18"/>
          <w:szCs w:val="18"/>
        </w:rPr>
        <w:t>[</w:t>
      </w:r>
      <w:r w:rsidRPr="00F570C2">
        <w:rPr>
          <w:rFonts w:ascii="Titillium" w:hAnsi="Titillium" w:cs="Calibri"/>
          <w:b/>
          <w:bCs/>
          <w:i/>
          <w:sz w:val="18"/>
          <w:szCs w:val="18"/>
        </w:rPr>
        <w:t>in alternativa</w:t>
      </w:r>
      <w:r w:rsidRPr="00F570C2">
        <w:rPr>
          <w:rFonts w:ascii="Titillium" w:hAnsi="Titillium" w:cs="Calibri"/>
          <w:b/>
          <w:i/>
          <w:sz w:val="18"/>
          <w:szCs w:val="18"/>
        </w:rPr>
        <w:t xml:space="preserve"> </w:t>
      </w:r>
      <w:r w:rsidRPr="00F570C2">
        <w:rPr>
          <w:rFonts w:ascii="Titillium" w:hAnsi="Titillium" w:cs="Calibri"/>
          <w:i/>
          <w:sz w:val="18"/>
          <w:szCs w:val="18"/>
        </w:rPr>
        <w:t>4 giorni, per le procedure</w:t>
      </w:r>
      <w:r>
        <w:rPr>
          <w:rFonts w:ascii="Titillium" w:hAnsi="Titillium" w:cs="Calibri"/>
          <w:i/>
          <w:sz w:val="18"/>
          <w:szCs w:val="18"/>
        </w:rPr>
        <w:t xml:space="preserve"> il cui termine è </w:t>
      </w:r>
      <w:r w:rsidRPr="007F54F5">
        <w:rPr>
          <w:rFonts w:ascii="Titillium" w:hAnsi="Titillium" w:cs="Calibri"/>
          <w:i/>
          <w:sz w:val="18"/>
          <w:szCs w:val="18"/>
        </w:rPr>
        <w:t>ridotto</w:t>
      </w:r>
      <w:r w:rsidRPr="00AA3CB6">
        <w:rPr>
          <w:rFonts w:ascii="Titillium" w:hAnsi="Titillium" w:cs="Calibri"/>
          <w:i/>
          <w:sz w:val="18"/>
          <w:szCs w:val="18"/>
        </w:rPr>
        <w:t>]</w:t>
      </w:r>
      <w:r w:rsidRPr="007F54F5">
        <w:rPr>
          <w:rFonts w:ascii="Titillium" w:hAnsi="Titillium" w:cs="Calibri"/>
          <w:sz w:val="18"/>
          <w:szCs w:val="18"/>
        </w:rPr>
        <w:t xml:space="preserve"> prima</w:t>
      </w:r>
      <w:r>
        <w:rPr>
          <w:rFonts w:ascii="Titillium" w:hAnsi="Titillium" w:cs="Calibri"/>
          <w:sz w:val="18"/>
          <w:szCs w:val="18"/>
        </w:rPr>
        <w:t xml:space="preserve"> della scadenza del termine fissato per la presentazione delle offerte, mediante pubblicazione delle richieste in forma anonima e delle relative risposte sulla Piattaforma … </w:t>
      </w:r>
      <w:r>
        <w:rPr>
          <w:rFonts w:ascii="Titillium" w:hAnsi="Titillium" w:cs="Calibri"/>
          <w:i/>
          <w:sz w:val="18"/>
          <w:szCs w:val="18"/>
        </w:rPr>
        <w:t>[indicare l’apposita sezione]</w:t>
      </w:r>
      <w:r>
        <w:rPr>
          <w:rFonts w:ascii="Titillium" w:hAnsi="Titillium" w:cs="Calibri"/>
          <w:sz w:val="18"/>
          <w:szCs w:val="18"/>
        </w:rPr>
        <w:t xml:space="preserve"> e sul sito istituzionale ... </w:t>
      </w:r>
      <w:r>
        <w:rPr>
          <w:rFonts w:ascii="Titillium" w:hAnsi="Titillium" w:cs="Calibri"/>
          <w:i/>
          <w:sz w:val="18"/>
          <w:szCs w:val="18"/>
        </w:rPr>
        <w:t>[indicare il link dal quale è possibile consultare i chiarimenti]</w:t>
      </w:r>
      <w:r>
        <w:rPr>
          <w:rFonts w:ascii="Titillium" w:hAnsi="Titillium" w:cs="Calibri"/>
          <w:sz w:val="18"/>
          <w:szCs w:val="18"/>
        </w:rPr>
        <w:t>.</w:t>
      </w:r>
      <w:r>
        <w:rPr>
          <w:rFonts w:ascii="Titillium" w:hAnsi="Titillium" w:cs="Calibri"/>
          <w:b/>
          <w:sz w:val="18"/>
          <w:szCs w:val="18"/>
        </w:rPr>
        <w:t xml:space="preserve"> </w:t>
      </w:r>
      <w:r>
        <w:rPr>
          <w:rFonts w:ascii="Titillium" w:hAnsi="Titillium" w:cs="Calibri"/>
          <w:sz w:val="18"/>
          <w:szCs w:val="18"/>
        </w:rPr>
        <w:t xml:space="preserve">Si invitano i concorrenti a visionare costantemente tale sezione della Piattaforma </w:t>
      </w:r>
      <w:r w:rsidRPr="00954345">
        <w:rPr>
          <w:rFonts w:ascii="Titillium" w:hAnsi="Titillium" w:cs="Calibri"/>
          <w:sz w:val="18"/>
          <w:szCs w:val="18"/>
        </w:rPr>
        <w:t>o il sito istituzionale</w:t>
      </w:r>
      <w:r>
        <w:rPr>
          <w:rFonts w:ascii="Titillium" w:hAnsi="Titillium" w:cs="Calibri"/>
          <w:sz w:val="18"/>
          <w:szCs w:val="18"/>
        </w:rPr>
        <w:t>.</w:t>
      </w:r>
    </w:p>
    <w:p w14:paraId="13EAC86A"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840480">
        <w:rPr>
          <w:rFonts w:ascii="Titillium" w:hAnsi="Titillium" w:cs="Calibri"/>
          <w:b/>
          <w:i/>
          <w:sz w:val="18"/>
          <w:szCs w:val="18"/>
        </w:rPr>
        <w:t>[</w:t>
      </w:r>
      <w:r>
        <w:rPr>
          <w:rFonts w:ascii="Titillium" w:hAnsi="Titillium" w:cs="Calibri"/>
          <w:b/>
          <w:i/>
          <w:sz w:val="18"/>
          <w:szCs w:val="18"/>
        </w:rPr>
        <w:t>S</w:t>
      </w:r>
      <w:r w:rsidRPr="00840480">
        <w:rPr>
          <w:rFonts w:ascii="Titillium" w:hAnsi="Titillium" w:cs="Calibri"/>
          <w:b/>
          <w:i/>
          <w:sz w:val="18"/>
          <w:szCs w:val="18"/>
        </w:rPr>
        <w:t>e la Piattaforma lo consente</w:t>
      </w:r>
      <w:r w:rsidRPr="00840480">
        <w:rPr>
          <w:rFonts w:ascii="Titillium" w:hAnsi="Titillium" w:cs="Calibri"/>
          <w:b/>
          <w:sz w:val="18"/>
          <w:szCs w:val="18"/>
        </w:rPr>
        <w:t xml:space="preserve">] </w:t>
      </w:r>
      <w:r>
        <w:rPr>
          <w:rFonts w:ascii="Titillium" w:hAnsi="Titillium" w:cs="Calibri"/>
          <w:sz w:val="18"/>
          <w:szCs w:val="18"/>
        </w:rPr>
        <w:t xml:space="preserve">La Piattaforma invia automaticamente agli operatori economici una segnalazione di avviso. </w:t>
      </w:r>
    </w:p>
    <w:p w14:paraId="3117519E"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Non viene fornita risposta alle richieste presentate con modalità diverse da quelle sopra indicate.</w:t>
      </w:r>
    </w:p>
    <w:p w14:paraId="66A2DC55" w14:textId="77777777" w:rsidR="00276DF7" w:rsidRDefault="00276DF7" w:rsidP="00276DF7">
      <w:pPr>
        <w:shd w:val="clear" w:color="auto" w:fill="F2F2F2" w:themeFill="background1" w:themeFillShade="F2"/>
        <w:spacing w:before="60" w:after="60"/>
        <w:rPr>
          <w:rFonts w:ascii="Titillium" w:hAnsi="Titillium" w:cs="Calibri"/>
          <w:sz w:val="18"/>
          <w:szCs w:val="18"/>
        </w:rPr>
      </w:pPr>
    </w:p>
    <w:p w14:paraId="10EBA317" w14:textId="77777777" w:rsidR="00276DF7" w:rsidRPr="0078130E" w:rsidRDefault="00276DF7" w:rsidP="00276DF7">
      <w:pPr>
        <w:pStyle w:val="Titolo3"/>
        <w:numPr>
          <w:ilvl w:val="1"/>
          <w:numId w:val="4"/>
        </w:numPr>
        <w:shd w:val="clear" w:color="auto" w:fill="F2F2F2" w:themeFill="background1" w:themeFillShade="F2"/>
        <w:ind w:left="426" w:hanging="426"/>
        <w:rPr>
          <w:rFonts w:ascii="Titillium" w:hAnsi="Titillium"/>
          <w:caps w:val="0"/>
          <w:sz w:val="18"/>
          <w:szCs w:val="18"/>
          <w:lang w:val="it-IT"/>
        </w:rPr>
      </w:pPr>
      <w:bookmarkStart w:id="167" w:name="_Ref132304898"/>
      <w:bookmarkStart w:id="168" w:name="_Toc139549416"/>
      <w:r w:rsidRPr="00851D38">
        <w:rPr>
          <w:rFonts w:ascii="Titillium" w:hAnsi="Titillium"/>
          <w:caps w:val="0"/>
          <w:sz w:val="18"/>
          <w:szCs w:val="18"/>
          <w:lang w:val="it-IT"/>
        </w:rPr>
        <w:t>C</w:t>
      </w:r>
      <w:r w:rsidRPr="0078130E">
        <w:rPr>
          <w:rFonts w:ascii="Titillium" w:hAnsi="Titillium"/>
          <w:caps w:val="0"/>
          <w:sz w:val="18"/>
          <w:szCs w:val="18"/>
          <w:lang w:val="it-IT"/>
        </w:rPr>
        <w:t>OMUNICAZIONI</w:t>
      </w:r>
      <w:bookmarkEnd w:id="167"/>
      <w:bookmarkEnd w:id="168"/>
    </w:p>
    <w:p w14:paraId="3ADC66A6" w14:textId="77777777" w:rsidR="00276DF7" w:rsidRDefault="00276DF7" w:rsidP="00276DF7">
      <w:pPr>
        <w:shd w:val="clear" w:color="auto" w:fill="F2F2F2" w:themeFill="background1" w:themeFillShade="F2"/>
        <w:spacing w:before="60" w:after="60"/>
        <w:rPr>
          <w:rFonts w:ascii="Titillium" w:hAnsi="Titillium"/>
          <w:i/>
          <w:iCs/>
          <w:sz w:val="18"/>
          <w:szCs w:val="18"/>
        </w:rPr>
      </w:pPr>
      <w:r w:rsidRPr="00BC4869">
        <w:rPr>
          <w:rFonts w:ascii="Titillium" w:hAnsi="Titillium"/>
          <w:i/>
          <w:iCs/>
          <w:sz w:val="18"/>
          <w:szCs w:val="18"/>
        </w:rPr>
        <w:t xml:space="preserve">[Opzione </w:t>
      </w:r>
      <w:r>
        <w:rPr>
          <w:rFonts w:ascii="Titillium" w:hAnsi="Titillium"/>
          <w:i/>
          <w:iCs/>
          <w:sz w:val="18"/>
          <w:szCs w:val="18"/>
        </w:rPr>
        <w:t>1 - utilizzabile</w:t>
      </w:r>
      <w:r w:rsidRPr="00BC4869">
        <w:rPr>
          <w:rFonts w:ascii="Titillium" w:hAnsi="Titillium"/>
          <w:i/>
          <w:iCs/>
          <w:sz w:val="18"/>
          <w:szCs w:val="18"/>
        </w:rPr>
        <w:t xml:space="preserve"> solo fino al </w:t>
      </w:r>
      <w:r>
        <w:rPr>
          <w:rFonts w:ascii="Titillium" w:hAnsi="Titillium"/>
          <w:i/>
          <w:iCs/>
          <w:sz w:val="18"/>
          <w:szCs w:val="18"/>
        </w:rPr>
        <w:t>31 dicembre 2023]</w:t>
      </w:r>
    </w:p>
    <w:p w14:paraId="345AB81C" w14:textId="77777777" w:rsidR="00276DF7" w:rsidRPr="00BC4869" w:rsidRDefault="00276DF7" w:rsidP="00276DF7">
      <w:pPr>
        <w:shd w:val="clear" w:color="auto" w:fill="F2F2F2" w:themeFill="background1" w:themeFillShade="F2"/>
        <w:spacing w:before="60" w:after="60"/>
      </w:pPr>
      <w:r w:rsidRPr="00BC4869">
        <w:rPr>
          <w:rFonts w:ascii="Titillium" w:hAnsi="Titillium"/>
          <w:sz w:val="18"/>
          <w:szCs w:val="18"/>
        </w:rPr>
        <w:t>Tutte le comunicazioni e gli scambi di informazioni sono eseguiti mediante l’utilizzo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eIDAS.: Se l’operatore economico non è presente nei predetti indici elegge domicilio digitale speciale presso la stessa Piattaforma nella …………………..</w:t>
      </w:r>
      <w:r w:rsidRPr="00BC4869">
        <w:rPr>
          <w:rFonts w:ascii="Titillium" w:hAnsi="Titillium"/>
          <w:i/>
          <w:iCs/>
          <w:sz w:val="18"/>
          <w:szCs w:val="18"/>
        </w:rPr>
        <w:t>[indicare l’apposita sezione della Piattaforma ove sono accessibili le comunicazioni e gli scambi di informazione]</w:t>
      </w:r>
      <w:r w:rsidRPr="00BC4869">
        <w:rPr>
          <w:rFonts w:ascii="Titillium" w:hAnsi="Titillium"/>
          <w:sz w:val="18"/>
          <w:szCs w:val="18"/>
        </w:rPr>
        <w:t xml:space="preserve"> e le comunicazioni di cui sopra sono effettuate utilizzando tale domicilio digitale.</w:t>
      </w:r>
    </w:p>
    <w:p w14:paraId="1755E0CB" w14:textId="77777777" w:rsidR="00276DF7" w:rsidRPr="00BC4869" w:rsidRDefault="00276DF7" w:rsidP="00276DF7">
      <w:pPr>
        <w:shd w:val="clear" w:color="auto" w:fill="F2F2F2" w:themeFill="background1" w:themeFillShade="F2"/>
        <w:spacing w:before="60" w:after="60"/>
      </w:pPr>
      <w:r w:rsidRPr="00BC4869">
        <w:rPr>
          <w:rFonts w:ascii="Titillium" w:hAnsi="Titillium"/>
          <w:i/>
          <w:iCs/>
          <w:sz w:val="18"/>
          <w:szCs w:val="18"/>
        </w:rPr>
        <w:t xml:space="preserve">[Opzione 2 </w:t>
      </w:r>
      <w:r>
        <w:rPr>
          <w:rFonts w:ascii="Titillium" w:hAnsi="Titillium"/>
          <w:i/>
          <w:iCs/>
          <w:sz w:val="18"/>
          <w:szCs w:val="18"/>
        </w:rPr>
        <w:t xml:space="preserve">- </w:t>
      </w:r>
      <w:r w:rsidRPr="00BC4869">
        <w:rPr>
          <w:rFonts w:ascii="Titillium" w:hAnsi="Titillium"/>
          <w:i/>
          <w:iCs/>
          <w:sz w:val="18"/>
          <w:szCs w:val="18"/>
        </w:rPr>
        <w:t xml:space="preserve">utilizzabile solo fino a </w:t>
      </w:r>
      <w:r>
        <w:rPr>
          <w:rFonts w:ascii="Titillium" w:hAnsi="Titillium"/>
          <w:i/>
          <w:iCs/>
          <w:sz w:val="18"/>
          <w:szCs w:val="18"/>
        </w:rPr>
        <w:t>31 dicembre 2023]</w:t>
      </w:r>
      <w:r w:rsidRPr="00BC4869">
        <w:rPr>
          <w:rFonts w:ascii="Titillium" w:hAnsi="Titillium"/>
          <w:i/>
          <w:iCs/>
          <w:sz w:val="18"/>
          <w:szCs w:val="18"/>
        </w:rPr>
        <w:t>:</w:t>
      </w:r>
    </w:p>
    <w:p w14:paraId="549D7E52" w14:textId="2F7731F7" w:rsidR="00276DF7" w:rsidRPr="00BC4869" w:rsidRDefault="00276DF7" w:rsidP="00276DF7">
      <w:pPr>
        <w:shd w:val="clear" w:color="auto" w:fill="F2F2F2" w:themeFill="background1" w:themeFillShade="F2"/>
        <w:spacing w:before="60" w:after="60"/>
      </w:pPr>
      <w:r w:rsidRPr="00BC4869">
        <w:rPr>
          <w:rFonts w:ascii="Titillium" w:hAnsi="Titillium"/>
          <w:sz w:val="18"/>
          <w:szCs w:val="18"/>
        </w:rPr>
        <w:t>Le comunicazioni tra stazione appaltante e operatori economici avvengono</w:t>
      </w:r>
      <w:r w:rsidRPr="00BC4869">
        <w:rPr>
          <w:rFonts w:ascii="Titillium" w:hAnsi="Titillium"/>
        </w:rPr>
        <w:t xml:space="preserve"> </w:t>
      </w:r>
      <w:r w:rsidRPr="00BC4869">
        <w:rPr>
          <w:rFonts w:ascii="Titillium" w:hAnsi="Titillium"/>
          <w:sz w:val="18"/>
          <w:szCs w:val="18"/>
        </w:rPr>
        <w:t>tramite la Piattaforma e sono accessibili nella ...</w:t>
      </w:r>
      <w:r w:rsidRPr="00BC4869">
        <w:rPr>
          <w:rFonts w:ascii="Titillium" w:hAnsi="Titillium"/>
          <w:i/>
          <w:iCs/>
          <w:sz w:val="18"/>
          <w:szCs w:val="18"/>
        </w:rPr>
        <w:t xml:space="preserve"> [indicare l’apposita sezione della Piattaforma ove sono accessibili le comunicazioni e gli scambi di informazione]</w:t>
      </w:r>
      <w:r w:rsidRPr="00BC4869">
        <w:rPr>
          <w:rFonts w:ascii="Titillium" w:hAnsi="Titillium"/>
          <w:sz w:val="18"/>
          <w:szCs w:val="18"/>
        </w:rPr>
        <w:t xml:space="preserve">. È onere esclusivo dell’operatore economico prenderne visione. </w:t>
      </w:r>
      <w:r w:rsidRPr="00BC4869">
        <w:rPr>
          <w:rFonts w:ascii="Titillium" w:hAnsi="Titillium"/>
          <w:i/>
          <w:iCs/>
          <w:sz w:val="18"/>
          <w:szCs w:val="18"/>
        </w:rPr>
        <w:t>[</w:t>
      </w:r>
      <w:r>
        <w:rPr>
          <w:rFonts w:ascii="Titillium" w:hAnsi="Titillium"/>
          <w:i/>
          <w:iCs/>
          <w:sz w:val="18"/>
          <w:szCs w:val="18"/>
        </w:rPr>
        <w:t>Se</w:t>
      </w:r>
      <w:r w:rsidRPr="00BC4869">
        <w:rPr>
          <w:rFonts w:ascii="Titillium" w:hAnsi="Titillium"/>
          <w:i/>
          <w:iCs/>
          <w:sz w:val="18"/>
          <w:szCs w:val="18"/>
        </w:rPr>
        <w:t xml:space="preserve"> la Piattaforma lo consent</w:t>
      </w:r>
      <w:r>
        <w:rPr>
          <w:rFonts w:ascii="Titillium" w:hAnsi="Titillium"/>
          <w:i/>
          <w:iCs/>
          <w:sz w:val="18"/>
          <w:szCs w:val="18"/>
        </w:rPr>
        <w:t>e</w:t>
      </w:r>
      <w:r w:rsidRPr="00BC4869">
        <w:rPr>
          <w:rFonts w:ascii="Titillium" w:hAnsi="Titillium"/>
          <w:sz w:val="18"/>
          <w:szCs w:val="18"/>
        </w:rPr>
        <w:t>] La Piattaforma invia automaticamente agli operatori economici una segnalazione di avviso. Le comunicazioni relative: a) all'aggiudicazione; b) all'esclusione; c) alla decisione di non aggiudicare l’appalto; d) alla data di avvenuta stipulazione del contratto con l'aggiudicatario; avvengono utilizzando il domicilio digitale presente negli indici di cui agli articoli 6-bis,6-ter, 6</w:t>
      </w:r>
      <w:r>
        <w:rPr>
          <w:rFonts w:ascii="Titillium" w:hAnsi="Titillium"/>
          <w:sz w:val="18"/>
          <w:szCs w:val="18"/>
        </w:rPr>
        <w:t>-</w:t>
      </w:r>
      <w:r w:rsidRPr="00BC4869">
        <w:rPr>
          <w:rFonts w:ascii="Titillium" w:hAnsi="Titillium"/>
          <w:sz w:val="18"/>
          <w:szCs w:val="18"/>
        </w:rPr>
        <w:t>quater del decreto legislativo n.</w:t>
      </w:r>
      <w:r>
        <w:rPr>
          <w:rFonts w:ascii="Titillium" w:hAnsi="Titillium"/>
          <w:sz w:val="18"/>
          <w:szCs w:val="18"/>
        </w:rPr>
        <w:t xml:space="preserve"> </w:t>
      </w:r>
      <w:r w:rsidRPr="00BC4869">
        <w:rPr>
          <w:rFonts w:ascii="Titillium" w:hAnsi="Titillium"/>
          <w:sz w:val="18"/>
          <w:szCs w:val="18"/>
        </w:rPr>
        <w:t>82/05 o, per gli operatori economici transfrontalieri, attraverso un indirizzo di servizio elettronico di recapito certificato qualificato ai sensi del Regolamento eIDAS.</w:t>
      </w:r>
      <w:r w:rsidRPr="00BC4869">
        <w:t xml:space="preserve"> </w:t>
      </w:r>
      <w:r w:rsidRPr="00BC4869">
        <w:rPr>
          <w:rFonts w:ascii="Titillium" w:hAnsi="Titillium"/>
          <w:sz w:val="18"/>
          <w:szCs w:val="18"/>
        </w:rPr>
        <w:t xml:space="preserve">Se l’operatore economico non è presente nei predetti indici elegge domicilio digitale speciale presso la stessa Piattaforma e le comunicazioni di cui sopra sono effettuate utilizzando tale domicilio digitale. Le comunicazioni relative all’attivazione del soccorso istruttorio; al subprocedimento di verifica dell’anomalia dell’offerta anomala; alla richiesta di offerta migliorativa e al sorteggio di cui all’articolo </w:t>
      </w:r>
      <w:r>
        <w:rPr>
          <w:rFonts w:ascii="Titillium" w:hAnsi="Titillium"/>
          <w:sz w:val="18"/>
          <w:szCs w:val="18"/>
        </w:rPr>
        <w:fldChar w:fldCharType="begin"/>
      </w:r>
      <w:r>
        <w:rPr>
          <w:rFonts w:ascii="Titillium" w:hAnsi="Titillium"/>
          <w:sz w:val="18"/>
          <w:szCs w:val="18"/>
        </w:rPr>
        <w:instrText xml:space="preserve"> REF _Ref138148356 \r \h </w:instrText>
      </w:r>
      <w:r>
        <w:rPr>
          <w:rFonts w:ascii="Titillium" w:hAnsi="Titillium"/>
          <w:sz w:val="18"/>
          <w:szCs w:val="18"/>
        </w:rPr>
      </w:r>
      <w:r>
        <w:rPr>
          <w:rFonts w:ascii="Titillium" w:hAnsi="Titillium"/>
          <w:sz w:val="18"/>
          <w:szCs w:val="18"/>
        </w:rPr>
        <w:instrText xml:space="preserve"> \* MERGEFORMAT </w:instrText>
      </w:r>
      <w:r>
        <w:rPr>
          <w:rFonts w:ascii="Titillium" w:hAnsi="Titillium"/>
          <w:sz w:val="18"/>
          <w:szCs w:val="18"/>
        </w:rPr>
        <w:fldChar w:fldCharType="separate"/>
      </w:r>
      <w:r>
        <w:rPr>
          <w:rFonts w:ascii="Titillium" w:hAnsi="Titillium"/>
          <w:sz w:val="18"/>
          <w:szCs w:val="18"/>
        </w:rPr>
        <w:t>22</w:t>
      </w:r>
      <w:r>
        <w:rPr>
          <w:rFonts w:ascii="Titillium" w:hAnsi="Titillium"/>
          <w:sz w:val="18"/>
          <w:szCs w:val="18"/>
        </w:rPr>
        <w:fldChar w:fldCharType="end"/>
      </w:r>
      <w:r w:rsidRPr="00BC4869">
        <w:rPr>
          <w:rFonts w:ascii="Titillium" w:hAnsi="Titillium"/>
          <w:sz w:val="18"/>
          <w:szCs w:val="18"/>
        </w:rPr>
        <w:t>; avvengono presso la Piattaforma.</w:t>
      </w:r>
    </w:p>
    <w:p w14:paraId="390400EE" w14:textId="77777777" w:rsidR="00276DF7" w:rsidRPr="00950882" w:rsidRDefault="00276DF7" w:rsidP="00276DF7">
      <w:pPr>
        <w:shd w:val="clear" w:color="auto" w:fill="F2F2F2" w:themeFill="background1" w:themeFillShade="F2"/>
        <w:rPr>
          <w:rFonts w:ascii="Titillium" w:hAnsi="Titillium"/>
          <w:i/>
          <w:iCs/>
          <w:sz w:val="18"/>
          <w:szCs w:val="18"/>
        </w:rPr>
      </w:pPr>
      <w:r w:rsidRPr="00950882">
        <w:rPr>
          <w:rFonts w:ascii="Titillium" w:hAnsi="Titillium"/>
          <w:i/>
          <w:iCs/>
          <w:sz w:val="18"/>
          <w:szCs w:val="18"/>
        </w:rPr>
        <w:t>[dal 1° gennaio 2024]</w:t>
      </w:r>
    </w:p>
    <w:p w14:paraId="69A48EF0" w14:textId="77777777" w:rsidR="00276DF7" w:rsidRDefault="00276DF7" w:rsidP="00276DF7">
      <w:pPr>
        <w:shd w:val="clear" w:color="auto" w:fill="F2F2F2" w:themeFill="background1" w:themeFillShade="F2"/>
        <w:rPr>
          <w:rFonts w:ascii="Titillium" w:hAnsi="Titillium"/>
          <w:sz w:val="18"/>
          <w:szCs w:val="18"/>
        </w:rPr>
      </w:pPr>
      <w:r>
        <w:rPr>
          <w:rFonts w:ascii="Titillium" w:hAnsi="Titillium"/>
          <w:sz w:val="18"/>
          <w:szCs w:val="18"/>
        </w:rPr>
        <w:t xml:space="preserve">Tutte le comunicazioni e gli scambi di informazioni tra stazione appaltante e operatori economici sono eseguiti in conformità con quanto disposto dal </w:t>
      </w:r>
      <w:r w:rsidRPr="00BC4869">
        <w:rPr>
          <w:rFonts w:ascii="Titillium" w:hAnsi="Titillium"/>
          <w:sz w:val="18"/>
          <w:szCs w:val="18"/>
        </w:rPr>
        <w:t>decreto legislativo n. 82/05</w:t>
      </w:r>
      <w:r>
        <w:rPr>
          <w:rFonts w:ascii="Titillium" w:hAnsi="Titillium"/>
          <w:sz w:val="18"/>
          <w:szCs w:val="18"/>
        </w:rPr>
        <w:t xml:space="preserve">, tramite le piattaforme di approvvigionamento digitale e, per quanto non previsto </w:t>
      </w:r>
      <w:r>
        <w:rPr>
          <w:rFonts w:ascii="Titillium" w:hAnsi="Titillium"/>
          <w:sz w:val="18"/>
          <w:szCs w:val="18"/>
        </w:rPr>
        <w:lastRenderedPageBreak/>
        <w:t>dalle stesse, mediante utilizzo del domicilio digitale</w:t>
      </w:r>
      <w:r w:rsidRPr="00DF40D3">
        <w:rPr>
          <w:rFonts w:ascii="Titillium" w:hAnsi="Titillium"/>
          <w:sz w:val="18"/>
          <w:szCs w:val="18"/>
        </w:rPr>
        <w:t xml:space="preserve"> estratto da uno degli indici di cui agli articoli 6-bis, 6-ter, 6-quater, del decreto legislativo n. 82/05 o, per gli operatori economici transfrontalieri, attraverso un indirizzo di servizio elettronico di recapito certificato qualificato ai sensi del Regolamento eIDAS</w:t>
      </w:r>
      <w:r>
        <w:rPr>
          <w:rFonts w:ascii="Titillium" w:hAnsi="Titillium"/>
          <w:sz w:val="18"/>
          <w:szCs w:val="18"/>
        </w:rPr>
        <w:t xml:space="preserve">. </w:t>
      </w:r>
    </w:p>
    <w:p w14:paraId="690C7D47" w14:textId="77777777" w:rsidR="00276DF7" w:rsidRDefault="00276DF7" w:rsidP="00276DF7">
      <w:pPr>
        <w:shd w:val="clear" w:color="auto" w:fill="F2F2F2" w:themeFill="background1" w:themeFillShade="F2"/>
      </w:pPr>
      <w:r w:rsidRPr="00BC4869">
        <w:rPr>
          <w:rFonts w:ascii="Titillium" w:hAnsi="Titillium"/>
          <w:sz w:val="18"/>
          <w:szCs w:val="18"/>
        </w:rPr>
        <w:t>In caso di malfunzionamento della piattaforma, la stazione appaltante provvederà all’invio di qualsiasi comunicazione al domicilio digitale presente negli indici di cui ai richiamati articoli 6-bis,6-ter, 6</w:t>
      </w:r>
      <w:r>
        <w:rPr>
          <w:rFonts w:ascii="Titillium" w:hAnsi="Titillium"/>
          <w:sz w:val="18"/>
          <w:szCs w:val="18"/>
        </w:rPr>
        <w:t>-</w:t>
      </w:r>
      <w:r w:rsidRPr="00BC4869">
        <w:rPr>
          <w:rFonts w:ascii="Titillium" w:hAnsi="Titillium"/>
          <w:sz w:val="18"/>
          <w:szCs w:val="18"/>
        </w:rPr>
        <w:t>quater del decreto legislativo n.</w:t>
      </w:r>
      <w:r>
        <w:rPr>
          <w:rFonts w:ascii="Titillium" w:hAnsi="Titillium"/>
          <w:sz w:val="18"/>
          <w:szCs w:val="18"/>
        </w:rPr>
        <w:t xml:space="preserve"> </w:t>
      </w:r>
      <w:r w:rsidRPr="00BC4869">
        <w:rPr>
          <w:rFonts w:ascii="Titillium" w:hAnsi="Titillium"/>
          <w:sz w:val="18"/>
          <w:szCs w:val="18"/>
        </w:rPr>
        <w:t>82/05.</w:t>
      </w:r>
    </w:p>
    <w:p w14:paraId="1F2F02CF" w14:textId="77777777" w:rsidR="00276DF7" w:rsidRDefault="00276DF7" w:rsidP="00276DF7">
      <w:pPr>
        <w:shd w:val="clear" w:color="auto" w:fill="F2F2F2" w:themeFill="background1" w:themeFillShade="F2"/>
        <w:spacing w:before="60" w:after="60"/>
      </w:pPr>
      <w:r>
        <w:rPr>
          <w:rFonts w:ascii="Titillium" w:hAnsi="Titillium"/>
          <w:sz w:val="18"/>
          <w:szCs w:val="18"/>
        </w:rPr>
        <w:t xml:space="preserve">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 </w:t>
      </w:r>
    </w:p>
    <w:p w14:paraId="698B75E5" w14:textId="77777777" w:rsidR="00276DF7" w:rsidRDefault="00276DF7" w:rsidP="00276DF7">
      <w:pPr>
        <w:shd w:val="clear" w:color="auto" w:fill="F2F2F2" w:themeFill="background1" w:themeFillShade="F2"/>
        <w:spacing w:before="60" w:after="60"/>
      </w:pPr>
      <w:r>
        <w:rPr>
          <w:rFonts w:ascii="Titillium" w:hAnsi="Titillium"/>
          <w:sz w:val="18"/>
          <w:szCs w:val="18"/>
        </w:rPr>
        <w:t xml:space="preserve">In caso </w:t>
      </w:r>
      <w:r w:rsidRPr="008C279F">
        <w:rPr>
          <w:rFonts w:ascii="Titillium" w:hAnsi="Titillium"/>
          <w:sz w:val="18"/>
          <w:szCs w:val="18"/>
        </w:rPr>
        <w:t xml:space="preserve">di </w:t>
      </w:r>
      <w:r w:rsidRPr="00173996">
        <w:rPr>
          <w:rFonts w:ascii="Titillium" w:hAnsi="Titillium"/>
          <w:sz w:val="18"/>
          <w:szCs w:val="18"/>
        </w:rPr>
        <w:t>consorzi di cui all’art. 65 lett. b), c), d) del Codice,</w:t>
      </w:r>
      <w:r>
        <w:rPr>
          <w:rFonts w:ascii="Titillium" w:hAnsi="Titillium"/>
          <w:sz w:val="18"/>
          <w:szCs w:val="18"/>
        </w:rPr>
        <w:t xml:space="preserve"> la comunicazione recapitata nei modi sopra indicati al consorzio si intende validamente resa a tutte le consorziate.</w:t>
      </w:r>
    </w:p>
    <w:p w14:paraId="2636C2F6" w14:textId="77777777" w:rsidR="00276DF7" w:rsidRDefault="00276DF7" w:rsidP="00276DF7">
      <w:pPr>
        <w:shd w:val="clear" w:color="auto" w:fill="F2F2F2" w:themeFill="background1" w:themeFillShade="F2"/>
        <w:spacing w:before="60" w:after="60"/>
      </w:pPr>
      <w:r>
        <w:rPr>
          <w:rFonts w:ascii="Titillium" w:hAnsi="Titillium"/>
          <w:sz w:val="18"/>
          <w:szCs w:val="18"/>
        </w:rPr>
        <w:t>In caso di avvalimento, la comunicazione recapitata all’offerente nei modi sopra indicati si intende validamente resa a tutti gli operatori economici ausiliari.</w:t>
      </w:r>
    </w:p>
    <w:p w14:paraId="1DE21902" w14:textId="77777777" w:rsidR="00276DF7" w:rsidRDefault="00276DF7" w:rsidP="00276DF7">
      <w:pPr>
        <w:shd w:val="clear" w:color="auto" w:fill="F2F2F2" w:themeFill="background1" w:themeFillShade="F2"/>
        <w:spacing w:before="60" w:after="60"/>
      </w:pPr>
    </w:p>
    <w:tbl>
      <w:tblPr>
        <w:tblW w:w="9210" w:type="dxa"/>
        <w:tblCellMar>
          <w:left w:w="0" w:type="dxa"/>
          <w:right w:w="0" w:type="dxa"/>
        </w:tblCellMar>
        <w:tblLook w:val="04A0" w:firstRow="1" w:lastRow="0" w:firstColumn="1" w:lastColumn="0" w:noHBand="0" w:noVBand="1"/>
      </w:tblPr>
      <w:tblGrid>
        <w:gridCol w:w="9210"/>
      </w:tblGrid>
      <w:tr w:rsidR="00276DF7" w14:paraId="6774B5CD" w14:textId="77777777" w:rsidTr="00EA5131">
        <w:tc>
          <w:tcPr>
            <w:tcW w:w="9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E619B4" w14:textId="77777777" w:rsidR="00276DF7" w:rsidRPr="00BC4869" w:rsidRDefault="00276DF7" w:rsidP="00276DF7">
            <w:pPr>
              <w:shd w:val="clear" w:color="auto" w:fill="F2F2F2" w:themeFill="background1" w:themeFillShade="F2"/>
              <w:spacing w:before="60" w:after="60"/>
            </w:pPr>
            <w:r>
              <w:rPr>
                <w:rFonts w:ascii="Titillium" w:hAnsi="Titillium"/>
                <w:i/>
                <w:iCs/>
                <w:sz w:val="18"/>
                <w:szCs w:val="18"/>
              </w:rPr>
              <w:t>N.B. Nel caso in cui il sistema consenta l’invio automatico di comunicazioni ad un numero indifferenziato di soggetti, si può prevedere l’invio delle comunicazioni a tutti gli operatori economici che partecipano a raggruppamenti temporanei, GEIE, aggregazioni di rete o consorzi ordinari, anche se non ancora costituiti formalmente, indipendentemente dalla qualifica posseduta.</w:t>
            </w:r>
          </w:p>
        </w:tc>
      </w:tr>
    </w:tbl>
    <w:p w14:paraId="036F6825" w14:textId="77777777" w:rsidR="00276DF7" w:rsidRDefault="00276DF7" w:rsidP="00276DF7">
      <w:pPr>
        <w:pStyle w:val="Titolo2"/>
        <w:numPr>
          <w:ilvl w:val="0"/>
          <w:numId w:val="4"/>
        </w:numPr>
        <w:shd w:val="clear" w:color="auto" w:fill="F2F2F2" w:themeFill="background1" w:themeFillShade="F2"/>
        <w:ind w:left="357" w:hanging="357"/>
      </w:pPr>
      <w:bookmarkStart w:id="169" w:name="_Toc416423353"/>
      <w:bookmarkStart w:id="170" w:name="_Toc406754168"/>
      <w:bookmarkStart w:id="171" w:name="_Toc406058367"/>
      <w:bookmarkStart w:id="172" w:name="_Toc403471261"/>
      <w:bookmarkStart w:id="173" w:name="_Toc397422854"/>
      <w:bookmarkStart w:id="174" w:name="_Toc397346813"/>
      <w:bookmarkStart w:id="175" w:name="_Toc393706898"/>
      <w:bookmarkStart w:id="176" w:name="_Toc393700825"/>
      <w:bookmarkStart w:id="177" w:name="_Toc393283166"/>
      <w:bookmarkStart w:id="178" w:name="_Toc393272650"/>
      <w:bookmarkStart w:id="179" w:name="_Toc393272592"/>
      <w:bookmarkStart w:id="180" w:name="_Toc393187836"/>
      <w:bookmarkStart w:id="181" w:name="_Toc393112119"/>
      <w:bookmarkStart w:id="182" w:name="_Toc393110555"/>
      <w:bookmarkStart w:id="183" w:name="_Toc392577488"/>
      <w:bookmarkStart w:id="184" w:name="_Ref498597801"/>
      <w:bookmarkStart w:id="185" w:name="_Ref131768152"/>
      <w:bookmarkStart w:id="186" w:name="_Ref132303600"/>
      <w:bookmarkStart w:id="187" w:name="_Ref132304546"/>
      <w:bookmarkStart w:id="188" w:name="_Ref132304635"/>
      <w:bookmarkStart w:id="189" w:name="_Toc139549417"/>
      <w:r>
        <w:rPr>
          <w:rFonts w:ascii="Titillium" w:hAnsi="Titillium"/>
          <w:caps w:val="0"/>
          <w:sz w:val="18"/>
          <w:szCs w:val="18"/>
        </w:rPr>
        <w:t>OGGETTO DELL’APPALTO</w:t>
      </w:r>
      <w:r>
        <w:rPr>
          <w:rFonts w:ascii="Titillium" w:hAnsi="Titillium"/>
          <w:caps w:val="0"/>
          <w:sz w:val="18"/>
          <w:szCs w:val="18"/>
          <w:lang w:val="it-IT"/>
        </w:rPr>
        <w:t>, IMPORTO</w:t>
      </w:r>
      <w:r>
        <w:rPr>
          <w:rFonts w:ascii="Titillium" w:hAnsi="Titillium"/>
          <w:caps w:val="0"/>
          <w:sz w:val="18"/>
          <w:szCs w:val="18"/>
        </w:rPr>
        <w:t xml:space="preserve"> E SUDDIVISIONE IN LOTTI</w:t>
      </w:r>
      <w:bookmarkEnd w:id="132"/>
      <w:bookmarkEnd w:id="133"/>
      <w:bookmarkEnd w:id="134"/>
      <w:bookmarkEnd w:id="135"/>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3FB11C8" w14:textId="77777777" w:rsidR="00276DF7" w:rsidRPr="002E5A26" w:rsidRDefault="00276DF7" w:rsidP="00276DF7">
      <w:pPr>
        <w:shd w:val="clear" w:color="auto" w:fill="F2F2F2" w:themeFill="background1" w:themeFillShade="F2"/>
        <w:spacing w:before="60" w:after="60"/>
        <w:rPr>
          <w:vertAlign w:val="superscript"/>
        </w:rPr>
      </w:pPr>
      <w:r>
        <w:rPr>
          <w:rFonts w:ascii="Titillium" w:hAnsi="Titillium"/>
          <w:sz w:val="18"/>
          <w:szCs w:val="18"/>
        </w:rPr>
        <w:t xml:space="preserve">L’appalto è costituito da un unico lotto poiché …  </w:t>
      </w:r>
      <w:r>
        <w:rPr>
          <w:rFonts w:ascii="Titillium" w:hAnsi="Titillium"/>
          <w:i/>
          <w:sz w:val="18"/>
          <w:szCs w:val="18"/>
        </w:rPr>
        <w:t xml:space="preserve">[motivare la mancata suddivisione in </w:t>
      </w:r>
      <w:r w:rsidRPr="008D3BD6">
        <w:rPr>
          <w:rFonts w:ascii="Titillium" w:hAnsi="Titillium"/>
          <w:i/>
          <w:sz w:val="18"/>
          <w:szCs w:val="18"/>
        </w:rPr>
        <w:t>lotti tenendo conto dei princìpi europei sulla promozione di condizioni di concorrenza paritarie</w:t>
      </w:r>
      <w:r>
        <w:rPr>
          <w:rFonts w:ascii="Titillium" w:hAnsi="Titillium"/>
          <w:i/>
          <w:sz w:val="18"/>
          <w:szCs w:val="18"/>
        </w:rPr>
        <w:t xml:space="preserve"> per le piccole e medie </w:t>
      </w:r>
      <w:r w:rsidRPr="002E5A26">
        <w:rPr>
          <w:rFonts w:ascii="Titillium" w:hAnsi="Titillium"/>
          <w:i/>
          <w:sz w:val="18"/>
          <w:szCs w:val="18"/>
        </w:rPr>
        <w:t>imprese].</w:t>
      </w:r>
    </w:p>
    <w:p w14:paraId="31E6044B" w14:textId="77777777" w:rsidR="00276DF7" w:rsidRDefault="00276DF7" w:rsidP="00276DF7">
      <w:pPr>
        <w:shd w:val="clear" w:color="auto" w:fill="F2F2F2" w:themeFill="background1" w:themeFillShade="F2"/>
        <w:spacing w:before="60" w:after="60"/>
        <w:rPr>
          <w:rFonts w:ascii="Titillium" w:hAnsi="Titillium"/>
          <w:sz w:val="18"/>
          <w:szCs w:val="18"/>
        </w:rPr>
      </w:pPr>
    </w:p>
    <w:p w14:paraId="603F7488" w14:textId="77777777" w:rsidR="00276DF7" w:rsidRDefault="00276DF7" w:rsidP="00276DF7">
      <w:pPr>
        <w:shd w:val="clear" w:color="auto" w:fill="F2F2F2" w:themeFill="background1" w:themeFillShade="F2"/>
        <w:spacing w:before="60" w:after="60"/>
      </w:pPr>
      <w:r>
        <w:rPr>
          <w:rFonts w:ascii="Titillium" w:hAnsi="Titillium"/>
          <w:sz w:val="18"/>
          <w:szCs w:val="18"/>
        </w:rPr>
        <w:t>Tabella 1</w:t>
      </w:r>
    </w:p>
    <w:tbl>
      <w:tblPr>
        <w:tblW w:w="9067" w:type="dxa"/>
        <w:tblInd w:w="-108" w:type="dxa"/>
        <w:tblLook w:val="04A0" w:firstRow="1" w:lastRow="0" w:firstColumn="1" w:lastColumn="0" w:noHBand="0" w:noVBand="1"/>
      </w:tblPr>
      <w:tblGrid>
        <w:gridCol w:w="536"/>
        <w:gridCol w:w="4174"/>
        <w:gridCol w:w="1147"/>
        <w:gridCol w:w="1676"/>
        <w:gridCol w:w="1534"/>
      </w:tblGrid>
      <w:tr w:rsidR="00276DF7" w14:paraId="2AA6EE3B" w14:textId="77777777" w:rsidTr="00EA5131">
        <w:tc>
          <w:tcPr>
            <w:tcW w:w="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666396" w14:textId="77777777" w:rsidR="00276DF7" w:rsidRDefault="00276DF7" w:rsidP="00276DF7">
            <w:pPr>
              <w:shd w:val="clear" w:color="auto" w:fill="F2F2F2" w:themeFill="background1" w:themeFillShade="F2"/>
              <w:spacing w:before="60" w:after="60"/>
              <w:jc w:val="center"/>
              <w:rPr>
                <w:rFonts w:ascii="Titillium" w:hAnsi="Titillium"/>
                <w:sz w:val="18"/>
                <w:szCs w:val="18"/>
              </w:rPr>
            </w:pPr>
            <w:bookmarkStart w:id="190" w:name="_Hlk132095196"/>
            <w:r>
              <w:rPr>
                <w:rFonts w:ascii="Titillium" w:hAnsi="Titillium"/>
                <w:sz w:val="18"/>
                <w:szCs w:val="18"/>
              </w:rPr>
              <w:t>n.</w:t>
            </w:r>
          </w:p>
        </w:tc>
        <w:tc>
          <w:tcPr>
            <w:tcW w:w="41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077E0E"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Descrizione servizi/beni/</w:t>
            </w:r>
            <w:r w:rsidRPr="008D3BD6">
              <w:rPr>
                <w:rFonts w:ascii="Titillium" w:hAnsi="Titillium"/>
                <w:sz w:val="18"/>
                <w:szCs w:val="18"/>
              </w:rPr>
              <w:t>lavori</w:t>
            </w:r>
          </w:p>
        </w:tc>
        <w:tc>
          <w:tcPr>
            <w:tcW w:w="11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D600"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CPV</w:t>
            </w:r>
          </w:p>
        </w:tc>
        <w:tc>
          <w:tcPr>
            <w:tcW w:w="1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CD7B97" w14:textId="77777777" w:rsidR="00276DF7" w:rsidRPr="009564C4" w:rsidRDefault="00276DF7" w:rsidP="00276DF7">
            <w:pPr>
              <w:shd w:val="clear" w:color="auto" w:fill="F2F2F2" w:themeFill="background1" w:themeFillShade="F2"/>
              <w:spacing w:before="60" w:after="60"/>
              <w:jc w:val="center"/>
              <w:rPr>
                <w:rFonts w:ascii="Titillium" w:hAnsi="Titillium"/>
                <w:sz w:val="18"/>
                <w:szCs w:val="18"/>
              </w:rPr>
            </w:pPr>
            <w:r w:rsidRPr="009564C4">
              <w:rPr>
                <w:rFonts w:ascii="Titillium" w:hAnsi="Titillium"/>
                <w:sz w:val="18"/>
                <w:szCs w:val="18"/>
              </w:rPr>
              <w:t>P (principale)</w:t>
            </w:r>
          </w:p>
          <w:p w14:paraId="210B3589" w14:textId="77777777" w:rsidR="00276DF7" w:rsidRPr="009564C4" w:rsidRDefault="00276DF7" w:rsidP="00276DF7">
            <w:pPr>
              <w:shd w:val="clear" w:color="auto" w:fill="F2F2F2" w:themeFill="background1" w:themeFillShade="F2"/>
              <w:spacing w:before="60" w:after="60"/>
              <w:jc w:val="center"/>
              <w:rPr>
                <w:rFonts w:ascii="Titillium" w:hAnsi="Titillium"/>
                <w:sz w:val="18"/>
                <w:szCs w:val="18"/>
              </w:rPr>
            </w:pPr>
            <w:r w:rsidRPr="009564C4">
              <w:rPr>
                <w:rFonts w:ascii="Titillium" w:hAnsi="Titillium"/>
                <w:sz w:val="18"/>
                <w:szCs w:val="18"/>
              </w:rPr>
              <w:t>S (secondaria)</w:t>
            </w:r>
          </w:p>
        </w:tc>
        <w:tc>
          <w:tcPr>
            <w:tcW w:w="1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18EFA" w14:textId="77777777" w:rsidR="00276DF7" w:rsidRPr="009564C4" w:rsidRDefault="00276DF7" w:rsidP="00276DF7">
            <w:pPr>
              <w:shd w:val="clear" w:color="auto" w:fill="F2F2F2" w:themeFill="background1" w:themeFillShade="F2"/>
              <w:spacing w:before="60" w:after="60"/>
              <w:jc w:val="center"/>
              <w:rPr>
                <w:rFonts w:ascii="Titillium" w:hAnsi="Titillium"/>
                <w:sz w:val="18"/>
                <w:szCs w:val="18"/>
              </w:rPr>
            </w:pPr>
            <w:r w:rsidRPr="009564C4">
              <w:rPr>
                <w:rFonts w:ascii="Titillium" w:hAnsi="Titillium"/>
                <w:sz w:val="18"/>
                <w:szCs w:val="18"/>
              </w:rPr>
              <w:t>Importo</w:t>
            </w:r>
          </w:p>
        </w:tc>
      </w:tr>
      <w:tr w:rsidR="00276DF7" w14:paraId="70CC183D" w14:textId="77777777" w:rsidTr="00EA5131">
        <w:tc>
          <w:tcPr>
            <w:tcW w:w="536" w:type="dxa"/>
            <w:tcBorders>
              <w:top w:val="single" w:sz="4" w:space="0" w:color="000000"/>
              <w:left w:val="single" w:sz="4" w:space="0" w:color="000000"/>
              <w:bottom w:val="single" w:sz="4" w:space="0" w:color="000000"/>
              <w:right w:val="single" w:sz="4" w:space="0" w:color="000000"/>
            </w:tcBorders>
            <w:vAlign w:val="center"/>
          </w:tcPr>
          <w:p w14:paraId="610E0601"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1</w:t>
            </w:r>
          </w:p>
        </w:tc>
        <w:tc>
          <w:tcPr>
            <w:tcW w:w="4174" w:type="dxa"/>
            <w:tcBorders>
              <w:top w:val="single" w:sz="4" w:space="0" w:color="000000"/>
              <w:left w:val="single" w:sz="4" w:space="0" w:color="000000"/>
              <w:bottom w:val="single" w:sz="4" w:space="0" w:color="000000"/>
              <w:right w:val="single" w:sz="4" w:space="0" w:color="000000"/>
            </w:tcBorders>
            <w:vAlign w:val="center"/>
          </w:tcPr>
          <w:p w14:paraId="72093385"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660A6961"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38799604"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2B7CE0E2"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r>
      <w:tr w:rsidR="00276DF7" w14:paraId="78FEDE22" w14:textId="77777777" w:rsidTr="00EA5131">
        <w:tc>
          <w:tcPr>
            <w:tcW w:w="536" w:type="dxa"/>
            <w:tcBorders>
              <w:top w:val="single" w:sz="4" w:space="0" w:color="000000"/>
              <w:left w:val="single" w:sz="4" w:space="0" w:color="000000"/>
              <w:bottom w:val="single" w:sz="4" w:space="0" w:color="000000"/>
              <w:right w:val="single" w:sz="4" w:space="0" w:color="000000"/>
            </w:tcBorders>
            <w:vAlign w:val="center"/>
          </w:tcPr>
          <w:p w14:paraId="60CAC9B4"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2</w:t>
            </w:r>
          </w:p>
        </w:tc>
        <w:tc>
          <w:tcPr>
            <w:tcW w:w="4174" w:type="dxa"/>
            <w:tcBorders>
              <w:top w:val="single" w:sz="4" w:space="0" w:color="000000"/>
              <w:left w:val="single" w:sz="4" w:space="0" w:color="000000"/>
              <w:bottom w:val="single" w:sz="4" w:space="0" w:color="000000"/>
              <w:right w:val="single" w:sz="4" w:space="0" w:color="000000"/>
            </w:tcBorders>
            <w:vAlign w:val="center"/>
          </w:tcPr>
          <w:p w14:paraId="5EA8EDCF"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11B7FBDD"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5A4602B5"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4AE2C726"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r>
      <w:tr w:rsidR="00276DF7" w14:paraId="08BEA054" w14:textId="77777777" w:rsidTr="00EA5131">
        <w:tc>
          <w:tcPr>
            <w:tcW w:w="536" w:type="dxa"/>
            <w:tcBorders>
              <w:top w:val="single" w:sz="4" w:space="0" w:color="000000"/>
              <w:left w:val="single" w:sz="4" w:space="0" w:color="000000"/>
              <w:bottom w:val="single" w:sz="4" w:space="0" w:color="000000"/>
              <w:right w:val="single" w:sz="4" w:space="0" w:color="000000"/>
            </w:tcBorders>
            <w:vAlign w:val="center"/>
          </w:tcPr>
          <w:p w14:paraId="649CBCAE"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3</w:t>
            </w:r>
          </w:p>
        </w:tc>
        <w:tc>
          <w:tcPr>
            <w:tcW w:w="4174" w:type="dxa"/>
            <w:tcBorders>
              <w:top w:val="single" w:sz="4" w:space="0" w:color="000000"/>
              <w:left w:val="single" w:sz="4" w:space="0" w:color="000000"/>
              <w:bottom w:val="single" w:sz="4" w:space="0" w:color="000000"/>
              <w:right w:val="single" w:sz="4" w:space="0" w:color="000000"/>
            </w:tcBorders>
            <w:vAlign w:val="center"/>
          </w:tcPr>
          <w:p w14:paraId="6BFF42A3"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3AAC68D7"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033EE33D"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1EA05A8D"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r>
      <w:tr w:rsidR="00276DF7" w14:paraId="6B0ED6E0" w14:textId="77777777" w:rsidTr="00EA5131">
        <w:tc>
          <w:tcPr>
            <w:tcW w:w="7533" w:type="dxa"/>
            <w:gridSpan w:val="4"/>
            <w:tcBorders>
              <w:top w:val="single" w:sz="4" w:space="0" w:color="000000"/>
              <w:left w:val="single" w:sz="4" w:space="0" w:color="000000"/>
              <w:bottom w:val="single" w:sz="4" w:space="0" w:color="000000"/>
              <w:right w:val="single" w:sz="4" w:space="0" w:color="000000"/>
            </w:tcBorders>
            <w:vAlign w:val="center"/>
          </w:tcPr>
          <w:p w14:paraId="14197D7A" w14:textId="77777777" w:rsidR="00276DF7" w:rsidRDefault="00276DF7" w:rsidP="00276DF7">
            <w:pPr>
              <w:pStyle w:val="Paragrafoelenco"/>
              <w:numPr>
                <w:ilvl w:val="0"/>
                <w:numId w:val="76"/>
              </w:numPr>
              <w:shd w:val="clear" w:color="auto" w:fill="F2F2F2" w:themeFill="background1" w:themeFillShade="F2"/>
              <w:spacing w:before="60" w:after="60"/>
              <w:ind w:left="3232" w:hanging="284"/>
              <w:jc w:val="left"/>
            </w:pPr>
            <w:r>
              <w:rPr>
                <w:rFonts w:ascii="Titillium" w:hAnsi="Titillium"/>
                <w:b/>
                <w:sz w:val="18"/>
                <w:szCs w:val="18"/>
              </w:rPr>
              <w:t>Importo a base di gara</w:t>
            </w:r>
          </w:p>
        </w:tc>
        <w:tc>
          <w:tcPr>
            <w:tcW w:w="1534" w:type="dxa"/>
            <w:tcBorders>
              <w:top w:val="single" w:sz="4" w:space="0" w:color="000000"/>
              <w:left w:val="single" w:sz="4" w:space="0" w:color="000000"/>
              <w:bottom w:val="single" w:sz="4" w:space="0" w:color="000000"/>
              <w:right w:val="single" w:sz="4" w:space="0" w:color="000000"/>
            </w:tcBorders>
            <w:vAlign w:val="center"/>
          </w:tcPr>
          <w:p w14:paraId="30EF6552"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r>
      <w:tr w:rsidR="00276DF7" w14:paraId="333990D4" w14:textId="77777777" w:rsidTr="00EA5131">
        <w:tc>
          <w:tcPr>
            <w:tcW w:w="7533" w:type="dxa"/>
            <w:gridSpan w:val="4"/>
            <w:tcBorders>
              <w:top w:val="single" w:sz="4" w:space="0" w:color="000000"/>
              <w:left w:val="single" w:sz="4" w:space="0" w:color="000000"/>
              <w:bottom w:val="single" w:sz="4" w:space="0" w:color="000000"/>
              <w:right w:val="single" w:sz="4" w:space="0" w:color="000000"/>
            </w:tcBorders>
            <w:vAlign w:val="center"/>
          </w:tcPr>
          <w:p w14:paraId="33563248" w14:textId="77777777" w:rsidR="00276DF7" w:rsidRDefault="00276DF7" w:rsidP="00276DF7">
            <w:pPr>
              <w:pStyle w:val="Paragrafoelenco"/>
              <w:numPr>
                <w:ilvl w:val="0"/>
                <w:numId w:val="76"/>
              </w:numPr>
              <w:shd w:val="clear" w:color="auto" w:fill="F2F2F2" w:themeFill="background1" w:themeFillShade="F2"/>
              <w:spacing w:before="60" w:after="60"/>
              <w:ind w:left="3232" w:hanging="284"/>
              <w:jc w:val="left"/>
            </w:pPr>
            <w:r>
              <w:rPr>
                <w:rFonts w:ascii="Titillium" w:hAnsi="Titillium"/>
                <w:b/>
                <w:sz w:val="18"/>
                <w:szCs w:val="18"/>
              </w:rPr>
              <w:t xml:space="preserve">Oneri per la sicurezza da interferenze non soggetti a ribasso </w:t>
            </w:r>
            <w:r>
              <w:rPr>
                <w:rFonts w:ascii="Titillium" w:hAnsi="Titillium"/>
                <w:i/>
                <w:sz w:val="18"/>
                <w:szCs w:val="18"/>
              </w:rPr>
              <w:t>[indicare € 0,00 in caso di assenza di rischi]</w:t>
            </w:r>
          </w:p>
        </w:tc>
        <w:tc>
          <w:tcPr>
            <w:tcW w:w="1534" w:type="dxa"/>
            <w:tcBorders>
              <w:top w:val="single" w:sz="4" w:space="0" w:color="000000"/>
              <w:left w:val="single" w:sz="4" w:space="0" w:color="000000"/>
              <w:bottom w:val="single" w:sz="4" w:space="0" w:color="000000"/>
              <w:right w:val="single" w:sz="4" w:space="0" w:color="000000"/>
            </w:tcBorders>
            <w:vAlign w:val="center"/>
          </w:tcPr>
          <w:p w14:paraId="0CD3C502"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r>
      <w:tr w:rsidR="00276DF7" w:rsidRPr="00E42CEB" w14:paraId="5D1C209A" w14:textId="77777777" w:rsidTr="00EA5131">
        <w:tc>
          <w:tcPr>
            <w:tcW w:w="7533" w:type="dxa"/>
            <w:gridSpan w:val="4"/>
            <w:tcBorders>
              <w:top w:val="single" w:sz="4" w:space="0" w:color="000000"/>
              <w:left w:val="single" w:sz="4" w:space="0" w:color="000000"/>
              <w:bottom w:val="single" w:sz="4" w:space="0" w:color="000000"/>
              <w:right w:val="single" w:sz="4" w:space="0" w:color="000000"/>
            </w:tcBorders>
            <w:vAlign w:val="center"/>
          </w:tcPr>
          <w:p w14:paraId="4275EA36" w14:textId="77777777" w:rsidR="00276DF7" w:rsidRPr="00E42CEB" w:rsidRDefault="00276DF7" w:rsidP="00276DF7">
            <w:pPr>
              <w:pStyle w:val="Paragrafoelenco"/>
              <w:shd w:val="clear" w:color="auto" w:fill="F2F2F2" w:themeFill="background1" w:themeFillShade="F2"/>
              <w:spacing w:before="60" w:after="60"/>
              <w:ind w:left="2807" w:hanging="284"/>
              <w:jc w:val="left"/>
              <w:rPr>
                <w:rFonts w:ascii="Titillium" w:hAnsi="Titillium"/>
                <w:b/>
                <w:sz w:val="18"/>
                <w:szCs w:val="18"/>
              </w:rPr>
            </w:pPr>
            <w:r w:rsidRPr="00E42CEB">
              <w:rPr>
                <w:rFonts w:ascii="Titillium" w:hAnsi="Titillium"/>
                <w:b/>
                <w:sz w:val="18"/>
                <w:szCs w:val="18"/>
              </w:rPr>
              <w:t>A)</w:t>
            </w:r>
            <w:r>
              <w:rPr>
                <w:rFonts w:ascii="Titillium" w:hAnsi="Titillium"/>
                <w:b/>
                <w:sz w:val="18"/>
                <w:szCs w:val="18"/>
              </w:rPr>
              <w:t xml:space="preserve"> </w:t>
            </w:r>
            <w:r w:rsidRPr="00E42CEB">
              <w:rPr>
                <w:rFonts w:ascii="Titillium" w:hAnsi="Titillium"/>
                <w:b/>
                <w:sz w:val="18"/>
                <w:szCs w:val="18"/>
              </w:rPr>
              <w:t>+ B) Importo complessivo</w:t>
            </w:r>
          </w:p>
        </w:tc>
        <w:tc>
          <w:tcPr>
            <w:tcW w:w="1534" w:type="dxa"/>
            <w:tcBorders>
              <w:top w:val="single" w:sz="4" w:space="0" w:color="000000"/>
              <w:left w:val="single" w:sz="4" w:space="0" w:color="000000"/>
              <w:bottom w:val="single" w:sz="4" w:space="0" w:color="000000"/>
              <w:right w:val="single" w:sz="4" w:space="0" w:color="000000"/>
            </w:tcBorders>
            <w:vAlign w:val="center"/>
          </w:tcPr>
          <w:p w14:paraId="40A6E140" w14:textId="77777777" w:rsidR="00276DF7" w:rsidRPr="00E42CEB" w:rsidRDefault="00276DF7" w:rsidP="00276DF7">
            <w:pPr>
              <w:pStyle w:val="Paragrafoelenco"/>
              <w:numPr>
                <w:ilvl w:val="0"/>
                <w:numId w:val="76"/>
              </w:numPr>
              <w:shd w:val="clear" w:color="auto" w:fill="F2F2F2" w:themeFill="background1" w:themeFillShade="F2"/>
              <w:spacing w:before="60" w:after="60"/>
              <w:ind w:left="2835"/>
              <w:jc w:val="left"/>
              <w:rPr>
                <w:rFonts w:ascii="Titillium" w:hAnsi="Titillium"/>
                <w:b/>
                <w:sz w:val="18"/>
                <w:szCs w:val="18"/>
              </w:rPr>
            </w:pPr>
          </w:p>
        </w:tc>
      </w:tr>
      <w:bookmarkEnd w:id="190"/>
    </w:tbl>
    <w:p w14:paraId="1B1B914F" w14:textId="77777777" w:rsidR="00276DF7" w:rsidRDefault="00276DF7" w:rsidP="00276DF7">
      <w:pPr>
        <w:shd w:val="clear" w:color="auto" w:fill="F2F2F2" w:themeFill="background1" w:themeFillShade="F2"/>
        <w:spacing w:before="60" w:after="60"/>
        <w:rPr>
          <w:rFonts w:ascii="Titillium" w:hAnsi="Titillium" w:cs="Calibri"/>
          <w:i/>
          <w:sz w:val="18"/>
          <w:szCs w:val="18"/>
        </w:rPr>
      </w:pPr>
    </w:p>
    <w:p w14:paraId="0BA2439E" w14:textId="77777777" w:rsidR="00276DF7" w:rsidRPr="001C5FCC"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sz w:val="18"/>
          <w:szCs w:val="18"/>
        </w:rPr>
      </w:pPr>
      <w:r w:rsidRPr="001C5FCC">
        <w:rPr>
          <w:rFonts w:ascii="Titillium" w:hAnsi="Titillium" w:cs="Calibri"/>
          <w:i/>
          <w:sz w:val="18"/>
          <w:szCs w:val="18"/>
        </w:rPr>
        <w:t xml:space="preserve">N.B. Nel caso di appalti misti, l’eventuale componente lavori non può rappresentare l’oggetto principale dell’affidamento. </w:t>
      </w:r>
    </w:p>
    <w:p w14:paraId="6B08B58D" w14:textId="77777777" w:rsidR="00276DF7" w:rsidRDefault="00276DF7" w:rsidP="00276DF7">
      <w:pPr>
        <w:shd w:val="clear" w:color="auto" w:fill="F2F2F2" w:themeFill="background1" w:themeFillShade="F2"/>
        <w:spacing w:before="60" w:after="60"/>
        <w:rPr>
          <w:rFonts w:ascii="Titillium" w:hAnsi="Titillium"/>
          <w:sz w:val="18"/>
          <w:szCs w:val="18"/>
        </w:rPr>
      </w:pPr>
    </w:p>
    <w:p w14:paraId="4829C20E" w14:textId="77777777" w:rsidR="00276DF7" w:rsidRDefault="00276DF7" w:rsidP="00276DF7">
      <w:pPr>
        <w:shd w:val="clear" w:color="auto" w:fill="F2F2F2" w:themeFill="background1" w:themeFillShade="F2"/>
        <w:spacing w:before="60" w:after="60"/>
        <w:rPr>
          <w:rFonts w:ascii="Titillium" w:hAnsi="Titillium"/>
          <w:b/>
          <w:i/>
          <w:sz w:val="18"/>
          <w:szCs w:val="18"/>
        </w:rPr>
      </w:pPr>
      <w:r w:rsidRPr="003117C4">
        <w:rPr>
          <w:rFonts w:ascii="Titillium" w:hAnsi="Titillium"/>
          <w:b/>
          <w:i/>
          <w:sz w:val="18"/>
          <w:szCs w:val="18"/>
        </w:rPr>
        <w:t>[In caso di appalto di servizi o appalto misto di servizi e forniture</w:t>
      </w:r>
      <w:r w:rsidRPr="00BC41F7">
        <w:rPr>
          <w:rFonts w:ascii="Titillium" w:hAnsi="Titillium"/>
          <w:b/>
          <w:i/>
          <w:sz w:val="18"/>
          <w:szCs w:val="18"/>
        </w:rPr>
        <w:t xml:space="preserve"> </w:t>
      </w:r>
      <w:r>
        <w:rPr>
          <w:rFonts w:ascii="Titillium" w:hAnsi="Titillium"/>
          <w:b/>
          <w:i/>
          <w:sz w:val="18"/>
          <w:szCs w:val="18"/>
        </w:rPr>
        <w:t xml:space="preserve">riportare il testo seguente fino all’indicazione del contratto collettivo compreso. Non applicabile ai </w:t>
      </w:r>
      <w:r w:rsidRPr="00B309E3">
        <w:rPr>
          <w:rFonts w:ascii="Titillium" w:hAnsi="Titillium"/>
          <w:b/>
          <w:i/>
          <w:sz w:val="18"/>
          <w:szCs w:val="18"/>
        </w:rPr>
        <w:t>servizi di natura intellettuale e</w:t>
      </w:r>
      <w:r>
        <w:rPr>
          <w:rFonts w:ascii="Titillium" w:hAnsi="Titillium"/>
          <w:b/>
          <w:i/>
          <w:sz w:val="18"/>
          <w:szCs w:val="18"/>
        </w:rPr>
        <w:t>d alle</w:t>
      </w:r>
      <w:r w:rsidRPr="00B309E3">
        <w:rPr>
          <w:rFonts w:ascii="Titillium" w:hAnsi="Titillium"/>
          <w:b/>
          <w:i/>
          <w:sz w:val="18"/>
          <w:szCs w:val="18"/>
        </w:rPr>
        <w:t xml:space="preserve"> fornitur</w:t>
      </w:r>
      <w:r>
        <w:rPr>
          <w:rFonts w:ascii="Titillium" w:hAnsi="Titillium"/>
          <w:b/>
          <w:i/>
          <w:sz w:val="18"/>
          <w:szCs w:val="18"/>
        </w:rPr>
        <w:t>e</w:t>
      </w:r>
      <w:r w:rsidRPr="00B309E3">
        <w:rPr>
          <w:rFonts w:ascii="Titillium" w:hAnsi="Titillium"/>
          <w:b/>
          <w:i/>
          <w:sz w:val="18"/>
          <w:szCs w:val="18"/>
        </w:rPr>
        <w:t xml:space="preserve"> senza posa in opera</w:t>
      </w:r>
      <w:r w:rsidRPr="003117C4">
        <w:rPr>
          <w:rFonts w:ascii="Titillium" w:hAnsi="Titillium"/>
          <w:b/>
          <w:i/>
          <w:sz w:val="18"/>
          <w:szCs w:val="18"/>
        </w:rPr>
        <w:t>]</w:t>
      </w:r>
    </w:p>
    <w:p w14:paraId="05067938" w14:textId="77777777" w:rsidR="00276DF7" w:rsidRDefault="00276DF7" w:rsidP="00276DF7">
      <w:pPr>
        <w:shd w:val="clear" w:color="auto" w:fill="F2F2F2" w:themeFill="background1" w:themeFillShade="F2"/>
        <w:spacing w:before="60" w:after="60"/>
      </w:pPr>
      <w:r>
        <w:rPr>
          <w:rFonts w:ascii="Titillium" w:hAnsi="Titillium"/>
          <w:sz w:val="18"/>
          <w:szCs w:val="18"/>
        </w:rPr>
        <w:t xml:space="preserve">L’importo a base di gara comprende i costi della manodopera che la stazione appaltante ha stimato pari ad € </w:t>
      </w:r>
      <w:r>
        <w:rPr>
          <w:rFonts w:ascii="Titillium" w:hAnsi="Titillium"/>
          <w:i/>
          <w:sz w:val="18"/>
          <w:szCs w:val="18"/>
        </w:rPr>
        <w:t xml:space="preserve">… [indicare l’importo] </w:t>
      </w:r>
      <w:r>
        <w:rPr>
          <w:rFonts w:ascii="Titillium" w:hAnsi="Titillium"/>
          <w:sz w:val="18"/>
          <w:szCs w:val="18"/>
        </w:rPr>
        <w:t xml:space="preserve">calcolati sulla base dei seguenti elementi … </w:t>
      </w:r>
      <w:r>
        <w:rPr>
          <w:rFonts w:ascii="Titillium" w:hAnsi="Titillium"/>
          <w:i/>
          <w:sz w:val="18"/>
          <w:szCs w:val="18"/>
        </w:rPr>
        <w:t xml:space="preserve">[precisare gli elementi attraverso i quali si è pervenuti alla determinazione del costo stimato </w:t>
      </w:r>
      <w:r w:rsidRPr="003117C4">
        <w:rPr>
          <w:rFonts w:ascii="Titillium" w:hAnsi="Titillium"/>
          <w:i/>
          <w:sz w:val="18"/>
          <w:szCs w:val="18"/>
        </w:rPr>
        <w:t>o</w:t>
      </w:r>
      <w:r>
        <w:rPr>
          <w:rFonts w:ascii="Titillium" w:hAnsi="Titillium"/>
          <w:i/>
          <w:sz w:val="18"/>
          <w:szCs w:val="18"/>
        </w:rPr>
        <w:t xml:space="preserve"> eventualmente</w:t>
      </w:r>
      <w:r w:rsidRPr="003117C4">
        <w:rPr>
          <w:rFonts w:ascii="Titillium" w:hAnsi="Titillium"/>
          <w:i/>
          <w:sz w:val="18"/>
          <w:szCs w:val="18"/>
        </w:rPr>
        <w:t xml:space="preserve"> indicare l’allegato che contiene questa informazione</w:t>
      </w:r>
      <w:r>
        <w:rPr>
          <w:rFonts w:ascii="Titillium" w:hAnsi="Titillium"/>
          <w:i/>
          <w:sz w:val="18"/>
          <w:szCs w:val="18"/>
        </w:rPr>
        <w:t xml:space="preserve">] </w:t>
      </w:r>
      <w:r w:rsidRPr="00E062AB">
        <w:rPr>
          <w:rFonts w:ascii="Titillium" w:hAnsi="Titillium"/>
          <w:iCs/>
          <w:sz w:val="18"/>
          <w:szCs w:val="18"/>
        </w:rPr>
        <w:t>e riferiti a</w:t>
      </w:r>
      <w:r>
        <w:rPr>
          <w:rFonts w:ascii="Titillium" w:hAnsi="Titillium"/>
          <w:iCs/>
          <w:sz w:val="18"/>
          <w:szCs w:val="18"/>
        </w:rPr>
        <w:t xml:space="preserve"> … </w:t>
      </w:r>
      <w:r>
        <w:rPr>
          <w:rFonts w:ascii="Titillium" w:hAnsi="Titillium"/>
          <w:i/>
          <w:sz w:val="18"/>
          <w:szCs w:val="18"/>
        </w:rPr>
        <w:t xml:space="preserve"> [specificare a quali servizi o forniture si riferiscono i costi della manodopera]</w:t>
      </w:r>
      <w:r>
        <w:rPr>
          <w:rFonts w:ascii="Titillium" w:hAnsi="Titillium"/>
          <w:sz w:val="18"/>
          <w:szCs w:val="18"/>
        </w:rPr>
        <w:t>.</w:t>
      </w:r>
    </w:p>
    <w:p w14:paraId="6464FC8F" w14:textId="77777777" w:rsidR="00276DF7" w:rsidRPr="00871272" w:rsidRDefault="00276DF7" w:rsidP="00276DF7">
      <w:pPr>
        <w:shd w:val="clear" w:color="auto" w:fill="F2F2F2" w:themeFill="background1" w:themeFillShade="F2"/>
        <w:spacing w:before="60" w:after="60"/>
        <w:rPr>
          <w:rFonts w:ascii="Titillium" w:hAnsi="Titillium"/>
          <w:b/>
          <w:iCs/>
          <w:sz w:val="18"/>
          <w:szCs w:val="18"/>
        </w:rPr>
      </w:pPr>
      <w:r w:rsidRPr="00871272">
        <w:rPr>
          <w:rFonts w:ascii="Titillium" w:hAnsi="Titillium"/>
          <w:b/>
          <w:bCs/>
          <w:iCs/>
          <w:sz w:val="18"/>
          <w:szCs w:val="18"/>
        </w:rPr>
        <w:t>I costi della manodopera non sono soggetti al ribasso</w:t>
      </w:r>
      <w:r w:rsidRPr="00871272">
        <w:rPr>
          <w:rFonts w:ascii="Titillium" w:hAnsi="Titillium"/>
          <w:b/>
          <w:iCs/>
          <w:sz w:val="18"/>
          <w:szCs w:val="18"/>
        </w:rPr>
        <w:t>.</w:t>
      </w:r>
    </w:p>
    <w:p w14:paraId="1139E207" w14:textId="77777777" w:rsidR="00276DF7" w:rsidRPr="00815271" w:rsidRDefault="00276DF7" w:rsidP="00276DF7">
      <w:pPr>
        <w:shd w:val="clear" w:color="auto" w:fill="F2F2F2" w:themeFill="background1" w:themeFillShade="F2"/>
        <w:spacing w:before="60" w:after="60"/>
        <w:rPr>
          <w:rFonts w:ascii="Titillium" w:hAnsi="Titillium"/>
          <w:iCs/>
          <w:sz w:val="18"/>
          <w:szCs w:val="18"/>
        </w:rPr>
      </w:pPr>
      <w:r w:rsidRPr="00815271">
        <w:rPr>
          <w:rFonts w:ascii="Titillium" w:hAnsi="Titillium"/>
          <w:iCs/>
          <w:sz w:val="18"/>
          <w:szCs w:val="18"/>
        </w:rPr>
        <w:lastRenderedPageBreak/>
        <w:t xml:space="preserve">Il contratto collettivo applicato è/I contratti collettivi applicati sono </w:t>
      </w:r>
      <w:r w:rsidRPr="00B309E3">
        <w:rPr>
          <w:rFonts w:ascii="Titillium" w:hAnsi="Titillium"/>
          <w:i/>
          <w:sz w:val="18"/>
          <w:szCs w:val="18"/>
        </w:rPr>
        <w:t>... [fornire i dettagli in questa sezione o mediante rinvio ad un allegato]</w:t>
      </w:r>
      <w:r w:rsidRPr="00815271">
        <w:rPr>
          <w:rFonts w:ascii="Titillium" w:hAnsi="Titillium"/>
          <w:iCs/>
          <w:sz w:val="18"/>
          <w:szCs w:val="18"/>
        </w:rPr>
        <w:t>.</w:t>
      </w:r>
    </w:p>
    <w:p w14:paraId="74A0E57B" w14:textId="77777777" w:rsidR="00276DF7" w:rsidRDefault="00276DF7" w:rsidP="00276DF7">
      <w:pPr>
        <w:shd w:val="clear" w:color="auto" w:fill="F2F2F2" w:themeFill="background1" w:themeFillShade="F2"/>
        <w:spacing w:before="60" w:after="60"/>
      </w:pPr>
      <w:r>
        <w:rPr>
          <w:rFonts w:ascii="Titillium" w:hAnsi="Titillium" w:cs="Calibri"/>
          <w:b/>
          <w:i/>
          <w:sz w:val="18"/>
          <w:szCs w:val="18"/>
        </w:rPr>
        <w:t xml:space="preserve">[In caso di pubblicazione dei prezzi di riferimento dei beni o servizi oggetto di </w:t>
      </w:r>
      <w:r w:rsidRPr="00F44182">
        <w:rPr>
          <w:rFonts w:ascii="Titillium" w:hAnsi="Titillium" w:cs="Calibri"/>
          <w:b/>
          <w:i/>
          <w:sz w:val="18"/>
          <w:szCs w:val="18"/>
        </w:rPr>
        <w:t xml:space="preserve">affidamento] </w:t>
      </w:r>
      <w:r w:rsidRPr="00F44182">
        <w:rPr>
          <w:rFonts w:ascii="Titillium" w:hAnsi="Titillium"/>
          <w:sz w:val="18"/>
          <w:szCs w:val="18"/>
        </w:rPr>
        <w:t xml:space="preserve">L’importo a base di gara è stato calcolato considerando i prezzi di riferimento per … </w:t>
      </w:r>
      <w:r w:rsidRPr="00F44182">
        <w:rPr>
          <w:rFonts w:ascii="Titillium" w:hAnsi="Titillium"/>
          <w:i/>
          <w:sz w:val="18"/>
          <w:szCs w:val="18"/>
        </w:rPr>
        <w:t>[inserire i beni o servizi]</w:t>
      </w:r>
      <w:r w:rsidRPr="00F44182">
        <w:rPr>
          <w:rFonts w:ascii="Titillium" w:hAnsi="Titillium"/>
          <w:sz w:val="18"/>
          <w:szCs w:val="18"/>
        </w:rPr>
        <w:t xml:space="preserve">, di cui alla delibera dell’ANAC n. … del … </w:t>
      </w:r>
      <w:r w:rsidRPr="00F44182">
        <w:rPr>
          <w:rFonts w:ascii="Titillium" w:hAnsi="Titillium"/>
          <w:i/>
          <w:sz w:val="18"/>
          <w:szCs w:val="18"/>
        </w:rPr>
        <w:t>[la stazione appaltante indica la delibera di riferimento vigente alla data di pubblicazione</w:t>
      </w:r>
      <w:r w:rsidRPr="001C67CA">
        <w:rPr>
          <w:rFonts w:ascii="Titillium" w:hAnsi="Titillium"/>
          <w:i/>
          <w:sz w:val="18"/>
          <w:szCs w:val="18"/>
        </w:rPr>
        <w:t xml:space="preserve"> del bando]</w:t>
      </w:r>
      <w:r w:rsidRPr="001C67CA">
        <w:rPr>
          <w:rFonts w:ascii="Titillium" w:hAnsi="Titillium"/>
          <w:sz w:val="18"/>
          <w:szCs w:val="18"/>
        </w:rPr>
        <w:t>.</w:t>
      </w:r>
    </w:p>
    <w:p w14:paraId="5B908FB3" w14:textId="77777777" w:rsidR="00276DF7" w:rsidRDefault="00276DF7" w:rsidP="00276DF7">
      <w:pPr>
        <w:shd w:val="clear" w:color="auto" w:fill="F2F2F2" w:themeFill="background1" w:themeFillShade="F2"/>
        <w:spacing w:before="60" w:after="60"/>
        <w:rPr>
          <w:rFonts w:ascii="Titillium" w:hAnsi="Titillium" w:cs="Calibri"/>
          <w:i/>
          <w:iCs/>
          <w:sz w:val="18"/>
          <w:szCs w:val="18"/>
        </w:rPr>
      </w:pPr>
      <w:r w:rsidRPr="00F44182">
        <w:rPr>
          <w:rFonts w:ascii="Titillium" w:hAnsi="Titillium" w:cs="Calibri"/>
          <w:b/>
          <w:bCs/>
          <w:i/>
          <w:iCs/>
          <w:sz w:val="18"/>
          <w:szCs w:val="18"/>
        </w:rPr>
        <w:t>[In caso di oneri per la sicurezza da interferenze di importo pari a € 0,00]</w:t>
      </w:r>
      <w:r w:rsidRPr="0099078E">
        <w:rPr>
          <w:rFonts w:ascii="Titillium" w:hAnsi="Titillium" w:cs="Calibri"/>
          <w:sz w:val="18"/>
          <w:szCs w:val="18"/>
        </w:rPr>
        <w:t xml:space="preserve"> </w:t>
      </w:r>
      <w:r>
        <w:rPr>
          <w:rFonts w:ascii="Titillium" w:hAnsi="Titillium" w:cs="Calibri"/>
          <w:sz w:val="18"/>
          <w:szCs w:val="18"/>
        </w:rPr>
        <w:t>L’importo</w:t>
      </w:r>
      <w:r w:rsidRPr="00C32E81">
        <w:rPr>
          <w:rFonts w:ascii="Titillium" w:hAnsi="Titillium" w:cs="Calibri"/>
          <w:sz w:val="18"/>
          <w:szCs w:val="18"/>
        </w:rPr>
        <w:t xml:space="preserve"> degli oneri per la sicurezza d</w:t>
      </w:r>
      <w:r>
        <w:rPr>
          <w:rFonts w:ascii="Titillium" w:hAnsi="Titillium" w:cs="Calibri"/>
          <w:sz w:val="18"/>
          <w:szCs w:val="18"/>
        </w:rPr>
        <w:t>a interferenze è pari a € 0,00 poiché ...</w:t>
      </w:r>
      <w:r w:rsidRPr="0099078E">
        <w:rPr>
          <w:rFonts w:ascii="Titillium" w:hAnsi="Titillium" w:cs="Calibri"/>
          <w:i/>
          <w:iCs/>
          <w:sz w:val="18"/>
          <w:szCs w:val="18"/>
        </w:rPr>
        <w:t xml:space="preserve"> </w:t>
      </w:r>
      <w:r>
        <w:rPr>
          <w:rFonts w:ascii="Titillium" w:hAnsi="Titillium" w:cs="Calibri"/>
          <w:i/>
          <w:iCs/>
          <w:sz w:val="18"/>
          <w:szCs w:val="18"/>
        </w:rPr>
        <w:t>[</w:t>
      </w:r>
      <w:r w:rsidRPr="0099078E">
        <w:rPr>
          <w:rFonts w:ascii="Titillium" w:hAnsi="Titillium" w:cs="Calibri"/>
          <w:i/>
          <w:iCs/>
          <w:sz w:val="18"/>
          <w:szCs w:val="18"/>
        </w:rPr>
        <w:t>indicare i motivi</w:t>
      </w:r>
      <w:r>
        <w:rPr>
          <w:rFonts w:ascii="Titillium" w:hAnsi="Titillium" w:cs="Calibri"/>
          <w:i/>
          <w:iCs/>
          <w:sz w:val="18"/>
          <w:szCs w:val="18"/>
        </w:rPr>
        <w:t>]</w:t>
      </w:r>
    </w:p>
    <w:p w14:paraId="53E5B525"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sz w:val="18"/>
          <w:szCs w:val="18"/>
        </w:rPr>
        <w:t xml:space="preserve">L’importo complessivo è al </w:t>
      </w:r>
      <w:r>
        <w:rPr>
          <w:rFonts w:ascii="Titillium" w:hAnsi="Titillium" w:cs="Calibri"/>
          <w:sz w:val="18"/>
          <w:szCs w:val="18"/>
        </w:rPr>
        <w:t>netto di</w:t>
      </w:r>
      <w:r>
        <w:rPr>
          <w:rFonts w:ascii="Titillium" w:hAnsi="Titillium" w:cs="Calibri"/>
          <w:i/>
          <w:sz w:val="18"/>
          <w:szCs w:val="18"/>
        </w:rPr>
        <w:t xml:space="preserve"> </w:t>
      </w:r>
      <w:r>
        <w:rPr>
          <w:rFonts w:ascii="Titillium" w:hAnsi="Titillium" w:cs="Calibri"/>
          <w:sz w:val="18"/>
          <w:szCs w:val="18"/>
        </w:rPr>
        <w:t>Iva</w:t>
      </w:r>
      <w:r w:rsidRPr="00C32E81">
        <w:rPr>
          <w:rFonts w:ascii="Titillium" w:hAnsi="Titillium" w:cs="Calibri"/>
          <w:sz w:val="18"/>
          <w:szCs w:val="18"/>
        </w:rPr>
        <w:t>.</w:t>
      </w:r>
    </w:p>
    <w:p w14:paraId="2E633498"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i/>
          <w:sz w:val="18"/>
          <w:szCs w:val="18"/>
        </w:rPr>
      </w:pPr>
      <w:r>
        <w:rPr>
          <w:rFonts w:ascii="Titillium" w:hAnsi="Titillium"/>
          <w:i/>
          <w:sz w:val="18"/>
          <w:szCs w:val="18"/>
        </w:rPr>
        <w:t>N.B. La stazione appaltante deve dettagliare, nel bando o in un apposito allegato, le modalità di calcolo della base d’asta, esplicitando le componenti e le relative quantità che hanno condotto all’importo complessivo.</w:t>
      </w:r>
    </w:p>
    <w:p w14:paraId="2EE57121" w14:textId="77777777" w:rsidR="00276DF7" w:rsidRDefault="00276DF7" w:rsidP="00276DF7">
      <w:pPr>
        <w:shd w:val="clear" w:color="auto" w:fill="F2F2F2" w:themeFill="background1" w:themeFillShade="F2"/>
        <w:spacing w:before="60" w:after="60"/>
        <w:rPr>
          <w:rFonts w:ascii="Titillium" w:hAnsi="Titillium"/>
          <w:sz w:val="18"/>
          <w:szCs w:val="18"/>
        </w:rPr>
      </w:pPr>
    </w:p>
    <w:p w14:paraId="3331C486"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 xml:space="preserve">L’appalto è finanziato con </w:t>
      </w:r>
      <w:r>
        <w:rPr>
          <w:rFonts w:ascii="Titillium" w:hAnsi="Titillium"/>
          <w:i/>
          <w:sz w:val="18"/>
          <w:szCs w:val="18"/>
        </w:rPr>
        <w:t>… [descrivere le fonti di finanziamento]</w:t>
      </w:r>
      <w:r>
        <w:rPr>
          <w:rFonts w:ascii="Titillium" w:hAnsi="Titillium"/>
          <w:sz w:val="18"/>
          <w:szCs w:val="18"/>
        </w:rPr>
        <w:t>.</w:t>
      </w:r>
    </w:p>
    <w:p w14:paraId="174D11BD" w14:textId="77777777" w:rsidR="00276DF7" w:rsidRDefault="00276DF7" w:rsidP="00276DF7">
      <w:pPr>
        <w:shd w:val="clear" w:color="auto" w:fill="F2F2F2" w:themeFill="background1" w:themeFillShade="F2"/>
        <w:spacing w:before="60" w:after="60"/>
        <w:rPr>
          <w:rFonts w:ascii="Titillium" w:hAnsi="Titillium"/>
          <w:b/>
          <w:i/>
        </w:rPr>
      </w:pPr>
    </w:p>
    <w:p w14:paraId="02AE36F6" w14:textId="77777777" w:rsidR="00276DF7" w:rsidRPr="00414909" w:rsidRDefault="00276DF7" w:rsidP="00276DF7">
      <w:pPr>
        <w:shd w:val="clear" w:color="auto" w:fill="F2F2F2" w:themeFill="background1" w:themeFillShade="F2"/>
        <w:spacing w:before="60" w:after="60"/>
        <w:rPr>
          <w:rFonts w:ascii="Titillium" w:hAnsi="Titillium"/>
          <w:b/>
          <w:i/>
          <w:sz w:val="18"/>
          <w:szCs w:val="18"/>
        </w:rPr>
      </w:pPr>
      <w:r>
        <w:rPr>
          <w:rFonts w:ascii="Titillium" w:hAnsi="Titillium"/>
          <w:b/>
          <w:i/>
          <w:sz w:val="18"/>
          <w:szCs w:val="18"/>
        </w:rPr>
        <w:t>[In alternativa, in caso di suddivisione in lotti, sostituire il testo precedente con quello seguente]</w:t>
      </w:r>
    </w:p>
    <w:p w14:paraId="707F30CA"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L’appalto è suddiviso nei seguenti lotti:</w:t>
      </w:r>
    </w:p>
    <w:p w14:paraId="5A7FA2C7" w14:textId="77777777" w:rsidR="00276DF7" w:rsidRDefault="00276DF7" w:rsidP="00276DF7">
      <w:pPr>
        <w:pStyle w:val="Didascalia"/>
        <w:shd w:val="clear" w:color="auto" w:fill="F2F2F2" w:themeFill="background1" w:themeFillShade="F2"/>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Pr>
          <w:rFonts w:ascii="Titillium" w:hAnsi="Titillium"/>
          <w:noProof/>
          <w:sz w:val="18"/>
        </w:rPr>
        <w:t>1</w:t>
      </w:r>
      <w:r>
        <w:rPr>
          <w:rFonts w:ascii="Titillium" w:hAnsi="Titillium"/>
          <w:sz w:val="18"/>
        </w:rPr>
        <w:fldChar w:fldCharType="end"/>
      </w:r>
    </w:p>
    <w:tbl>
      <w:tblPr>
        <w:tblW w:w="5000" w:type="pct"/>
        <w:tblLook w:val="04A0" w:firstRow="1" w:lastRow="0" w:firstColumn="1" w:lastColumn="0" w:noHBand="0" w:noVBand="1"/>
      </w:tblPr>
      <w:tblGrid>
        <w:gridCol w:w="884"/>
        <w:gridCol w:w="3414"/>
        <w:gridCol w:w="2667"/>
        <w:gridCol w:w="2663"/>
      </w:tblGrid>
      <w:tr w:rsidR="00276DF7" w14:paraId="4AB470A8" w14:textId="77777777" w:rsidTr="00EA5131">
        <w:tc>
          <w:tcPr>
            <w:tcW w:w="45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D94A4B3" w14:textId="77777777" w:rsidR="00276DF7" w:rsidRDefault="00276DF7" w:rsidP="00276DF7">
            <w:pPr>
              <w:shd w:val="clear" w:color="auto" w:fill="F2F2F2" w:themeFill="background1" w:themeFillShade="F2"/>
              <w:jc w:val="center"/>
              <w:rPr>
                <w:rFonts w:ascii="Titillium" w:hAnsi="Titillium"/>
                <w:sz w:val="18"/>
                <w:szCs w:val="18"/>
              </w:rPr>
            </w:pPr>
            <w:r>
              <w:rPr>
                <w:rFonts w:ascii="Titillium" w:hAnsi="Titillium"/>
                <w:sz w:val="18"/>
                <w:szCs w:val="18"/>
              </w:rPr>
              <w:t>Numero lotto</w:t>
            </w:r>
          </w:p>
        </w:tc>
        <w:tc>
          <w:tcPr>
            <w:tcW w:w="17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F6341" w14:textId="77777777" w:rsidR="00276DF7" w:rsidRPr="00F86058" w:rsidRDefault="00276DF7" w:rsidP="00276DF7">
            <w:pPr>
              <w:shd w:val="clear" w:color="auto" w:fill="F2F2F2" w:themeFill="background1" w:themeFillShade="F2"/>
              <w:jc w:val="center"/>
              <w:rPr>
                <w:rFonts w:ascii="Titillium" w:hAnsi="Titillium"/>
                <w:sz w:val="18"/>
                <w:szCs w:val="18"/>
              </w:rPr>
            </w:pPr>
            <w:r w:rsidRPr="00F86058">
              <w:rPr>
                <w:rFonts w:ascii="Titillium" w:hAnsi="Titillium"/>
                <w:sz w:val="18"/>
                <w:szCs w:val="18"/>
              </w:rPr>
              <w:t>Oggetto del lotto</w:t>
            </w:r>
          </w:p>
        </w:tc>
        <w:tc>
          <w:tcPr>
            <w:tcW w:w="138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40FBB1D" w14:textId="77777777" w:rsidR="00276DF7" w:rsidRPr="00F86058" w:rsidRDefault="00276DF7" w:rsidP="00276DF7">
            <w:pPr>
              <w:shd w:val="clear" w:color="auto" w:fill="F2F2F2" w:themeFill="background1" w:themeFillShade="F2"/>
              <w:jc w:val="center"/>
              <w:rPr>
                <w:rFonts w:ascii="Titillium" w:hAnsi="Titillium"/>
                <w:sz w:val="18"/>
                <w:szCs w:val="18"/>
              </w:rPr>
            </w:pPr>
            <w:r w:rsidRPr="00F86058">
              <w:rPr>
                <w:rFonts w:ascii="Titillium" w:hAnsi="Titillium"/>
                <w:sz w:val="18"/>
                <w:szCs w:val="18"/>
              </w:rPr>
              <w:t>CIG</w:t>
            </w:r>
          </w:p>
        </w:tc>
        <w:tc>
          <w:tcPr>
            <w:tcW w:w="138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A89FCCF" w14:textId="77777777" w:rsidR="00276DF7" w:rsidRPr="00F86058" w:rsidRDefault="00276DF7" w:rsidP="00276DF7">
            <w:pPr>
              <w:shd w:val="clear" w:color="auto" w:fill="F2F2F2" w:themeFill="background1" w:themeFillShade="F2"/>
              <w:jc w:val="center"/>
              <w:rPr>
                <w:rFonts w:ascii="Titillium" w:hAnsi="Titillium"/>
                <w:sz w:val="18"/>
                <w:szCs w:val="18"/>
              </w:rPr>
            </w:pPr>
            <w:r w:rsidRPr="00F86058">
              <w:rPr>
                <w:rFonts w:ascii="Titillium" w:hAnsi="Titillium"/>
                <w:sz w:val="18"/>
                <w:szCs w:val="18"/>
              </w:rPr>
              <w:t>Importo</w:t>
            </w:r>
          </w:p>
        </w:tc>
      </w:tr>
      <w:tr w:rsidR="00276DF7" w14:paraId="05BFFF40" w14:textId="77777777" w:rsidTr="00EA5131">
        <w:tc>
          <w:tcPr>
            <w:tcW w:w="459" w:type="pct"/>
            <w:tcBorders>
              <w:top w:val="single" w:sz="4" w:space="0" w:color="000000"/>
              <w:left w:val="single" w:sz="4" w:space="0" w:color="000000"/>
              <w:bottom w:val="single" w:sz="4" w:space="0" w:color="000000"/>
              <w:right w:val="single" w:sz="4" w:space="0" w:color="000000"/>
            </w:tcBorders>
          </w:tcPr>
          <w:p w14:paraId="0752C69C" w14:textId="77777777" w:rsidR="00276DF7" w:rsidRDefault="00276DF7" w:rsidP="00276DF7">
            <w:pPr>
              <w:shd w:val="clear" w:color="auto" w:fill="F2F2F2" w:themeFill="background1" w:themeFillShade="F2"/>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0D99FF87" w14:textId="77777777" w:rsidR="00276DF7" w:rsidRDefault="00276DF7" w:rsidP="00276DF7">
            <w:pPr>
              <w:shd w:val="clear" w:color="auto" w:fill="F2F2F2" w:themeFill="background1" w:themeFillShade="F2"/>
            </w:pPr>
          </w:p>
        </w:tc>
        <w:tc>
          <w:tcPr>
            <w:tcW w:w="1385" w:type="pct"/>
            <w:tcBorders>
              <w:top w:val="single" w:sz="4" w:space="0" w:color="000000"/>
              <w:left w:val="single" w:sz="4" w:space="0" w:color="000000"/>
              <w:bottom w:val="single" w:sz="4" w:space="0" w:color="000000"/>
              <w:right w:val="single" w:sz="4" w:space="0" w:color="000000"/>
            </w:tcBorders>
          </w:tcPr>
          <w:p w14:paraId="67ECA200" w14:textId="77777777" w:rsidR="00276DF7" w:rsidRDefault="00276DF7" w:rsidP="00276DF7">
            <w:pPr>
              <w:shd w:val="clear" w:color="auto" w:fill="F2F2F2" w:themeFill="background1" w:themeFillShade="F2"/>
            </w:pPr>
          </w:p>
        </w:tc>
        <w:tc>
          <w:tcPr>
            <w:tcW w:w="1384" w:type="pct"/>
            <w:tcBorders>
              <w:top w:val="single" w:sz="4" w:space="0" w:color="000000"/>
              <w:left w:val="single" w:sz="4" w:space="0" w:color="000000"/>
              <w:bottom w:val="single" w:sz="4" w:space="0" w:color="000000"/>
              <w:right w:val="single" w:sz="4" w:space="0" w:color="000000"/>
            </w:tcBorders>
          </w:tcPr>
          <w:p w14:paraId="7C0FD089" w14:textId="77777777" w:rsidR="00276DF7" w:rsidRDefault="00276DF7" w:rsidP="00276DF7">
            <w:pPr>
              <w:shd w:val="clear" w:color="auto" w:fill="F2F2F2" w:themeFill="background1" w:themeFillShade="F2"/>
            </w:pPr>
          </w:p>
        </w:tc>
      </w:tr>
      <w:tr w:rsidR="00276DF7" w14:paraId="78D99AC4" w14:textId="77777777" w:rsidTr="00EA5131">
        <w:tc>
          <w:tcPr>
            <w:tcW w:w="459" w:type="pct"/>
            <w:tcBorders>
              <w:top w:val="single" w:sz="4" w:space="0" w:color="000000"/>
              <w:left w:val="single" w:sz="4" w:space="0" w:color="000000"/>
              <w:bottom w:val="single" w:sz="4" w:space="0" w:color="000000"/>
              <w:right w:val="single" w:sz="4" w:space="0" w:color="000000"/>
            </w:tcBorders>
          </w:tcPr>
          <w:p w14:paraId="31AFE7E2" w14:textId="77777777" w:rsidR="00276DF7" w:rsidRDefault="00276DF7" w:rsidP="00276DF7">
            <w:pPr>
              <w:shd w:val="clear" w:color="auto" w:fill="F2F2F2" w:themeFill="background1" w:themeFillShade="F2"/>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445F9454" w14:textId="77777777" w:rsidR="00276DF7" w:rsidRDefault="00276DF7" w:rsidP="00276DF7">
            <w:pPr>
              <w:shd w:val="clear" w:color="auto" w:fill="F2F2F2" w:themeFill="background1" w:themeFillShade="F2"/>
            </w:pPr>
          </w:p>
        </w:tc>
        <w:tc>
          <w:tcPr>
            <w:tcW w:w="1385" w:type="pct"/>
            <w:tcBorders>
              <w:top w:val="single" w:sz="4" w:space="0" w:color="000000"/>
              <w:left w:val="single" w:sz="4" w:space="0" w:color="000000"/>
              <w:bottom w:val="single" w:sz="4" w:space="0" w:color="000000"/>
              <w:right w:val="single" w:sz="4" w:space="0" w:color="000000"/>
            </w:tcBorders>
          </w:tcPr>
          <w:p w14:paraId="21CA4271" w14:textId="77777777" w:rsidR="00276DF7" w:rsidRDefault="00276DF7" w:rsidP="00276DF7">
            <w:pPr>
              <w:shd w:val="clear" w:color="auto" w:fill="F2F2F2" w:themeFill="background1" w:themeFillShade="F2"/>
            </w:pPr>
          </w:p>
        </w:tc>
        <w:tc>
          <w:tcPr>
            <w:tcW w:w="1384" w:type="pct"/>
            <w:tcBorders>
              <w:top w:val="single" w:sz="4" w:space="0" w:color="000000"/>
              <w:left w:val="single" w:sz="4" w:space="0" w:color="000000"/>
              <w:bottom w:val="single" w:sz="4" w:space="0" w:color="000000"/>
              <w:right w:val="single" w:sz="4" w:space="0" w:color="000000"/>
            </w:tcBorders>
          </w:tcPr>
          <w:p w14:paraId="6763C06A" w14:textId="77777777" w:rsidR="00276DF7" w:rsidRDefault="00276DF7" w:rsidP="00276DF7">
            <w:pPr>
              <w:shd w:val="clear" w:color="auto" w:fill="F2F2F2" w:themeFill="background1" w:themeFillShade="F2"/>
            </w:pPr>
          </w:p>
        </w:tc>
      </w:tr>
      <w:tr w:rsidR="00276DF7" w14:paraId="65B18B7D" w14:textId="77777777" w:rsidTr="00EA5131">
        <w:tc>
          <w:tcPr>
            <w:tcW w:w="459" w:type="pct"/>
            <w:tcBorders>
              <w:top w:val="single" w:sz="4" w:space="0" w:color="000000"/>
              <w:left w:val="single" w:sz="4" w:space="0" w:color="000000"/>
              <w:bottom w:val="single" w:sz="4" w:space="0" w:color="000000"/>
              <w:right w:val="single" w:sz="4" w:space="0" w:color="000000"/>
            </w:tcBorders>
          </w:tcPr>
          <w:p w14:paraId="4F133F7F" w14:textId="77777777" w:rsidR="00276DF7" w:rsidRDefault="00276DF7" w:rsidP="00276DF7">
            <w:pPr>
              <w:shd w:val="clear" w:color="auto" w:fill="F2F2F2" w:themeFill="background1" w:themeFillShade="F2"/>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3077D35D" w14:textId="77777777" w:rsidR="00276DF7" w:rsidRDefault="00276DF7" w:rsidP="00276DF7">
            <w:pPr>
              <w:shd w:val="clear" w:color="auto" w:fill="F2F2F2" w:themeFill="background1" w:themeFillShade="F2"/>
            </w:pPr>
          </w:p>
        </w:tc>
        <w:tc>
          <w:tcPr>
            <w:tcW w:w="1385" w:type="pct"/>
            <w:tcBorders>
              <w:top w:val="single" w:sz="4" w:space="0" w:color="000000"/>
              <w:left w:val="single" w:sz="4" w:space="0" w:color="000000"/>
              <w:bottom w:val="single" w:sz="4" w:space="0" w:color="000000"/>
              <w:right w:val="single" w:sz="4" w:space="0" w:color="000000"/>
            </w:tcBorders>
          </w:tcPr>
          <w:p w14:paraId="7FF463A8" w14:textId="77777777" w:rsidR="00276DF7" w:rsidRDefault="00276DF7" w:rsidP="00276DF7">
            <w:pPr>
              <w:shd w:val="clear" w:color="auto" w:fill="F2F2F2" w:themeFill="background1" w:themeFillShade="F2"/>
            </w:pPr>
          </w:p>
        </w:tc>
        <w:tc>
          <w:tcPr>
            <w:tcW w:w="1384" w:type="pct"/>
            <w:tcBorders>
              <w:top w:val="single" w:sz="4" w:space="0" w:color="000000"/>
              <w:left w:val="single" w:sz="4" w:space="0" w:color="000000"/>
              <w:bottom w:val="single" w:sz="4" w:space="0" w:color="000000"/>
              <w:right w:val="single" w:sz="4" w:space="0" w:color="000000"/>
            </w:tcBorders>
          </w:tcPr>
          <w:p w14:paraId="5DA0322B" w14:textId="77777777" w:rsidR="00276DF7" w:rsidRDefault="00276DF7" w:rsidP="00276DF7">
            <w:pPr>
              <w:shd w:val="clear" w:color="auto" w:fill="F2F2F2" w:themeFill="background1" w:themeFillShade="F2"/>
            </w:pPr>
          </w:p>
        </w:tc>
      </w:tr>
      <w:tr w:rsidR="00276DF7" w14:paraId="468D31BE" w14:textId="77777777" w:rsidTr="00EA5131">
        <w:tc>
          <w:tcPr>
            <w:tcW w:w="459" w:type="pct"/>
            <w:tcBorders>
              <w:top w:val="single" w:sz="4" w:space="0" w:color="000000"/>
              <w:left w:val="single" w:sz="4" w:space="0" w:color="000000"/>
              <w:bottom w:val="single" w:sz="4" w:space="0" w:color="000000"/>
              <w:right w:val="single" w:sz="4" w:space="0" w:color="000000"/>
            </w:tcBorders>
          </w:tcPr>
          <w:p w14:paraId="67411B84" w14:textId="77777777" w:rsidR="00276DF7" w:rsidRDefault="00276DF7" w:rsidP="00276DF7">
            <w:pPr>
              <w:shd w:val="clear" w:color="auto" w:fill="F2F2F2" w:themeFill="background1" w:themeFillShade="F2"/>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47C98061" w14:textId="77777777" w:rsidR="00276DF7" w:rsidRDefault="00276DF7" w:rsidP="00276DF7">
            <w:pPr>
              <w:shd w:val="clear" w:color="auto" w:fill="F2F2F2" w:themeFill="background1" w:themeFillShade="F2"/>
            </w:pPr>
          </w:p>
        </w:tc>
        <w:tc>
          <w:tcPr>
            <w:tcW w:w="1385" w:type="pct"/>
            <w:tcBorders>
              <w:top w:val="single" w:sz="4" w:space="0" w:color="000000"/>
              <w:left w:val="single" w:sz="4" w:space="0" w:color="000000"/>
              <w:bottom w:val="single" w:sz="4" w:space="0" w:color="000000"/>
              <w:right w:val="single" w:sz="4" w:space="0" w:color="000000"/>
            </w:tcBorders>
          </w:tcPr>
          <w:p w14:paraId="184ED285" w14:textId="77777777" w:rsidR="00276DF7" w:rsidRDefault="00276DF7" w:rsidP="00276DF7">
            <w:pPr>
              <w:shd w:val="clear" w:color="auto" w:fill="F2F2F2" w:themeFill="background1" w:themeFillShade="F2"/>
            </w:pPr>
          </w:p>
        </w:tc>
        <w:tc>
          <w:tcPr>
            <w:tcW w:w="1384" w:type="pct"/>
            <w:tcBorders>
              <w:top w:val="single" w:sz="4" w:space="0" w:color="000000"/>
              <w:left w:val="single" w:sz="4" w:space="0" w:color="000000"/>
              <w:bottom w:val="single" w:sz="4" w:space="0" w:color="000000"/>
              <w:right w:val="single" w:sz="4" w:space="0" w:color="000000"/>
            </w:tcBorders>
          </w:tcPr>
          <w:p w14:paraId="22EF0485" w14:textId="77777777" w:rsidR="00276DF7" w:rsidRDefault="00276DF7" w:rsidP="00276DF7">
            <w:pPr>
              <w:shd w:val="clear" w:color="auto" w:fill="F2F2F2" w:themeFill="background1" w:themeFillShade="F2"/>
            </w:pPr>
          </w:p>
        </w:tc>
      </w:tr>
    </w:tbl>
    <w:p w14:paraId="31BA0E2E" w14:textId="77777777" w:rsidR="00276DF7" w:rsidRDefault="00276DF7" w:rsidP="00276DF7">
      <w:pPr>
        <w:shd w:val="clear" w:color="auto" w:fill="F2F2F2" w:themeFill="background1" w:themeFillShade="F2"/>
      </w:pPr>
    </w:p>
    <w:tbl>
      <w:tblPr>
        <w:tblStyle w:val="Grigliatabella"/>
        <w:tblW w:w="0" w:type="auto"/>
        <w:tblLook w:val="04A0" w:firstRow="1" w:lastRow="0" w:firstColumn="1" w:lastColumn="0" w:noHBand="0" w:noVBand="1"/>
      </w:tblPr>
      <w:tblGrid>
        <w:gridCol w:w="9214"/>
      </w:tblGrid>
      <w:tr w:rsidR="00276DF7" w:rsidRPr="00F72B41" w14:paraId="38771C33" w14:textId="77777777" w:rsidTr="00EA5131">
        <w:tc>
          <w:tcPr>
            <w:tcW w:w="9214" w:type="dxa"/>
          </w:tcPr>
          <w:p w14:paraId="49BED17A" w14:textId="77777777" w:rsidR="00276DF7" w:rsidRPr="00F72B41" w:rsidRDefault="00276DF7" w:rsidP="00276DF7">
            <w:pPr>
              <w:shd w:val="clear" w:color="auto" w:fill="F2F2F2" w:themeFill="background1" w:themeFillShade="F2"/>
              <w:rPr>
                <w:i/>
                <w:iCs/>
              </w:rPr>
            </w:pPr>
            <w:r w:rsidRPr="00F72B41">
              <w:rPr>
                <w:rFonts w:ascii="Titillium" w:hAnsi="Titillium"/>
                <w:i/>
                <w:iCs/>
                <w:sz w:val="18"/>
                <w:szCs w:val="18"/>
              </w:rPr>
              <w:t xml:space="preserve">N.B. In caso si opti per la scelta di non sottoporre a gara </w:t>
            </w:r>
            <w:r>
              <w:rPr>
                <w:rFonts w:ascii="Titillium" w:hAnsi="Titillium"/>
                <w:i/>
                <w:iCs/>
                <w:sz w:val="18"/>
                <w:szCs w:val="18"/>
              </w:rPr>
              <w:t xml:space="preserve">i </w:t>
            </w:r>
            <w:r w:rsidRPr="00F72B41">
              <w:rPr>
                <w:rFonts w:ascii="Titillium" w:hAnsi="Titillium"/>
                <w:i/>
                <w:iCs/>
                <w:sz w:val="18"/>
                <w:szCs w:val="18"/>
              </w:rPr>
              <w:t>lotti di importo complessivamente inferiore a 80.000</w:t>
            </w:r>
            <w:r>
              <w:rPr>
                <w:rFonts w:ascii="Titillium" w:hAnsi="Titillium"/>
                <w:i/>
                <w:iCs/>
                <w:sz w:val="18"/>
                <w:szCs w:val="18"/>
              </w:rPr>
              <w:t>,00</w:t>
            </w:r>
            <w:r w:rsidRPr="00F72B41">
              <w:rPr>
                <w:rFonts w:ascii="Titillium" w:hAnsi="Titillium"/>
                <w:i/>
                <w:iCs/>
                <w:sz w:val="18"/>
                <w:szCs w:val="18"/>
              </w:rPr>
              <w:t xml:space="preserve"> euro che non superino il venti per cento dell’importo complessivo di tutti i lotti in cui è stata frazionata la gara, la stazione appaltante </w:t>
            </w:r>
            <w:r>
              <w:rPr>
                <w:rFonts w:ascii="Titillium" w:hAnsi="Titillium"/>
                <w:i/>
                <w:iCs/>
                <w:sz w:val="18"/>
                <w:szCs w:val="18"/>
              </w:rPr>
              <w:t xml:space="preserve">riporta nell’elenco </w:t>
            </w:r>
            <w:r w:rsidRPr="00F72B41">
              <w:rPr>
                <w:rFonts w:ascii="Titillium" w:hAnsi="Titillium"/>
                <w:i/>
                <w:iCs/>
                <w:sz w:val="18"/>
                <w:szCs w:val="18"/>
              </w:rPr>
              <w:t>tali lotti, specificando che non sono soggetti a gara.</w:t>
            </w:r>
          </w:p>
        </w:tc>
      </w:tr>
    </w:tbl>
    <w:p w14:paraId="4C819310" w14:textId="77777777" w:rsidR="00276DF7" w:rsidRDefault="00276DF7" w:rsidP="00276DF7">
      <w:pPr>
        <w:shd w:val="clear" w:color="auto" w:fill="F2F2F2" w:themeFill="background1" w:themeFillShade="F2"/>
      </w:pPr>
    </w:p>
    <w:p w14:paraId="21F3B20B" w14:textId="77777777" w:rsidR="00276DF7" w:rsidRPr="003B35CA" w:rsidRDefault="00276DF7" w:rsidP="00276DF7">
      <w:pPr>
        <w:shd w:val="clear" w:color="auto" w:fill="F2F2F2" w:themeFill="background1" w:themeFillShade="F2"/>
        <w:spacing w:before="60" w:after="60"/>
        <w:rPr>
          <w:rFonts w:ascii="Titillium" w:hAnsi="Titillium"/>
          <w:i/>
          <w:iCs/>
          <w:sz w:val="18"/>
          <w:szCs w:val="18"/>
        </w:rPr>
      </w:pPr>
      <w:r w:rsidRPr="003B35CA">
        <w:rPr>
          <w:rFonts w:ascii="Titillium" w:hAnsi="Titillium"/>
          <w:sz w:val="18"/>
          <w:szCs w:val="18"/>
        </w:rPr>
        <w:t>I lotti sono stati individuati utilizzando i seguenti criteri</w:t>
      </w:r>
      <w:r>
        <w:rPr>
          <w:rFonts w:ascii="Titillium" w:hAnsi="Titillium"/>
          <w:i/>
          <w:iCs/>
          <w:sz w:val="18"/>
          <w:szCs w:val="18"/>
        </w:rPr>
        <w:t xml:space="preserve"> ….</w:t>
      </w:r>
      <w:r w:rsidRPr="003B35CA">
        <w:rPr>
          <w:rFonts w:ascii="Titillium" w:hAnsi="Titillium"/>
          <w:i/>
          <w:iCs/>
          <w:sz w:val="18"/>
          <w:szCs w:val="18"/>
        </w:rPr>
        <w:t xml:space="preserve"> </w:t>
      </w:r>
      <w:r>
        <w:rPr>
          <w:rFonts w:ascii="Titillium" w:hAnsi="Titillium"/>
          <w:i/>
          <w:iCs/>
          <w:sz w:val="18"/>
          <w:szCs w:val="18"/>
        </w:rPr>
        <w:t xml:space="preserve"> </w:t>
      </w:r>
      <w:r w:rsidRPr="003B35CA">
        <w:rPr>
          <w:rFonts w:ascii="Titillium" w:hAnsi="Titillium"/>
          <w:i/>
          <w:iCs/>
          <w:sz w:val="18"/>
          <w:szCs w:val="18"/>
        </w:rPr>
        <w:t>[Indicare i criteri di natura qualitativa o quantitativa concretamente seguiti nella suddivisione in lotti</w:t>
      </w:r>
      <w:r w:rsidRPr="003E4EEF">
        <w:rPr>
          <w:rFonts w:ascii="Titillium" w:hAnsi="Titillium"/>
          <w:i/>
          <w:iCs/>
          <w:sz w:val="18"/>
          <w:szCs w:val="18"/>
        </w:rPr>
        <w:t>, al fine di garantire l’effettiva possibilità di partecipazione da parte delle microimprese, piccole e medie imprese]</w:t>
      </w:r>
    </w:p>
    <w:p w14:paraId="1D0212AF" w14:textId="77777777" w:rsidR="00276DF7" w:rsidRDefault="00276DF7" w:rsidP="00276DF7">
      <w:pPr>
        <w:shd w:val="clear" w:color="auto" w:fill="F2F2F2" w:themeFill="background1" w:themeFillShade="F2"/>
        <w:spacing w:before="60" w:after="60"/>
        <w:rPr>
          <w:rFonts w:ascii="Titillium" w:hAnsi="Titillium"/>
          <w:sz w:val="18"/>
          <w:szCs w:val="18"/>
        </w:rPr>
      </w:pPr>
    </w:p>
    <w:p w14:paraId="7393905F"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Il dettaglio delle prestazioni oggetto di ogni lotto è il seguente:</w:t>
      </w:r>
    </w:p>
    <w:p w14:paraId="7F1693AE" w14:textId="77777777" w:rsidR="00276DF7" w:rsidRDefault="00276DF7" w:rsidP="00276DF7">
      <w:pPr>
        <w:shd w:val="clear" w:color="auto" w:fill="F2F2F2" w:themeFill="background1" w:themeFillShade="F2"/>
        <w:spacing w:before="60" w:after="60"/>
        <w:rPr>
          <w:rFonts w:ascii="Titillium" w:hAnsi="Titillium"/>
          <w:i/>
          <w:sz w:val="18"/>
          <w:szCs w:val="18"/>
        </w:rPr>
      </w:pPr>
      <w:r>
        <w:rPr>
          <w:rFonts w:ascii="Titillium" w:hAnsi="Titillium"/>
          <w:i/>
          <w:sz w:val="18"/>
          <w:szCs w:val="18"/>
        </w:rPr>
        <w:t>[Ripetere per ogni lotto fino al periodo relativo ai prezzi di riferimento pubblicati da ANAC]</w:t>
      </w:r>
    </w:p>
    <w:p w14:paraId="202C6E21" w14:textId="77777777" w:rsidR="00276DF7" w:rsidRDefault="00276DF7" w:rsidP="00276DF7">
      <w:pPr>
        <w:shd w:val="clear" w:color="auto" w:fill="F2F2F2" w:themeFill="background1" w:themeFillShade="F2"/>
        <w:spacing w:before="60" w:after="60"/>
        <w:rPr>
          <w:rFonts w:ascii="Titillium" w:hAnsi="Titillium"/>
          <w:iCs/>
          <w:sz w:val="18"/>
          <w:szCs w:val="18"/>
        </w:rPr>
      </w:pPr>
    </w:p>
    <w:p w14:paraId="63899B76" w14:textId="77777777" w:rsidR="00276DF7" w:rsidRDefault="00276DF7" w:rsidP="00276DF7">
      <w:pPr>
        <w:shd w:val="clear" w:color="auto" w:fill="F2F2F2" w:themeFill="background1" w:themeFillShade="F2"/>
        <w:spacing w:before="60" w:after="60"/>
        <w:rPr>
          <w:rFonts w:ascii="Titillium" w:hAnsi="Titillium"/>
          <w:i/>
          <w:sz w:val="18"/>
          <w:szCs w:val="18"/>
        </w:rPr>
      </w:pPr>
      <w:r>
        <w:rPr>
          <w:rFonts w:ascii="Titillium" w:hAnsi="Titillium"/>
          <w:b/>
          <w:sz w:val="18"/>
          <w:szCs w:val="18"/>
        </w:rPr>
        <w:t xml:space="preserve">Lotto n. </w:t>
      </w:r>
      <w:r>
        <w:rPr>
          <w:rFonts w:ascii="Titillium" w:hAnsi="Titillium"/>
          <w:i/>
          <w:sz w:val="18"/>
          <w:szCs w:val="18"/>
        </w:rPr>
        <w:t>...</w:t>
      </w:r>
      <w:r>
        <w:rPr>
          <w:rFonts w:ascii="Titillium" w:hAnsi="Titillium"/>
          <w:b/>
          <w:sz w:val="18"/>
          <w:szCs w:val="18"/>
        </w:rPr>
        <w:t xml:space="preserve"> </w:t>
      </w:r>
      <w:r>
        <w:rPr>
          <w:rFonts w:ascii="Titillium" w:hAnsi="Titillium"/>
          <w:i/>
          <w:sz w:val="18"/>
          <w:szCs w:val="18"/>
        </w:rPr>
        <w:t xml:space="preserve">[indicare il numero di lotto] </w:t>
      </w:r>
      <w:r>
        <w:rPr>
          <w:rFonts w:ascii="Titillium" w:hAnsi="Titillium"/>
          <w:b/>
          <w:i/>
          <w:sz w:val="18"/>
          <w:szCs w:val="18"/>
        </w:rPr>
        <w:t xml:space="preserve">CIG </w:t>
      </w:r>
      <w:r>
        <w:rPr>
          <w:rFonts w:ascii="Titillium" w:hAnsi="Titillium"/>
          <w:i/>
          <w:sz w:val="18"/>
          <w:szCs w:val="18"/>
        </w:rPr>
        <w:t xml:space="preserve">… </w:t>
      </w:r>
    </w:p>
    <w:p w14:paraId="311DF5E7" w14:textId="77777777" w:rsidR="00276DF7" w:rsidRDefault="00276DF7" w:rsidP="00276DF7">
      <w:pPr>
        <w:shd w:val="clear" w:color="auto" w:fill="F2F2F2" w:themeFill="background1" w:themeFillShade="F2"/>
        <w:spacing w:before="60" w:after="60"/>
        <w:rPr>
          <w:rFonts w:ascii="Titillium" w:hAnsi="Titillium"/>
          <w:sz w:val="18"/>
        </w:rPr>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Pr>
          <w:rFonts w:ascii="Titillium" w:hAnsi="Titillium"/>
          <w:noProof/>
          <w:sz w:val="18"/>
        </w:rPr>
        <w:t>2</w:t>
      </w:r>
      <w:r>
        <w:rPr>
          <w:rFonts w:ascii="Titillium" w:hAnsi="Titillium"/>
          <w:sz w:val="18"/>
        </w:rPr>
        <w:fldChar w:fldCharType="end"/>
      </w:r>
    </w:p>
    <w:tbl>
      <w:tblPr>
        <w:tblW w:w="5000" w:type="pct"/>
        <w:tblLook w:val="04A0" w:firstRow="1" w:lastRow="0" w:firstColumn="1" w:lastColumn="0" w:noHBand="0" w:noVBand="1"/>
      </w:tblPr>
      <w:tblGrid>
        <w:gridCol w:w="570"/>
        <w:gridCol w:w="4433"/>
        <w:gridCol w:w="1219"/>
        <w:gridCol w:w="1779"/>
        <w:gridCol w:w="1627"/>
      </w:tblGrid>
      <w:tr w:rsidR="00276DF7" w14:paraId="315F7AC5" w14:textId="77777777" w:rsidTr="00EA5131">
        <w:tc>
          <w:tcPr>
            <w:tcW w:w="29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56F784E"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n.</w:t>
            </w:r>
          </w:p>
        </w:tc>
        <w:tc>
          <w:tcPr>
            <w:tcW w:w="230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0673CEE"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Descrizione servizi/beni/</w:t>
            </w:r>
            <w:r w:rsidRPr="00DC299E">
              <w:rPr>
                <w:rFonts w:ascii="Titillium" w:hAnsi="Titillium"/>
                <w:sz w:val="18"/>
                <w:szCs w:val="18"/>
              </w:rPr>
              <w:t>lavori</w:t>
            </w:r>
          </w:p>
        </w:tc>
        <w:tc>
          <w:tcPr>
            <w:tcW w:w="6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3991BDA"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CPV</w:t>
            </w:r>
          </w:p>
        </w:tc>
        <w:tc>
          <w:tcPr>
            <w:tcW w:w="9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3CE462C" w14:textId="77777777" w:rsidR="00276DF7" w:rsidRPr="009564C4" w:rsidRDefault="00276DF7" w:rsidP="00276DF7">
            <w:pPr>
              <w:shd w:val="clear" w:color="auto" w:fill="F2F2F2" w:themeFill="background1" w:themeFillShade="F2"/>
              <w:spacing w:before="60" w:after="60"/>
              <w:jc w:val="center"/>
              <w:rPr>
                <w:rFonts w:ascii="Titillium" w:hAnsi="Titillium"/>
                <w:sz w:val="18"/>
                <w:szCs w:val="18"/>
              </w:rPr>
            </w:pPr>
            <w:r w:rsidRPr="009564C4">
              <w:rPr>
                <w:rFonts w:ascii="Titillium" w:hAnsi="Titillium"/>
                <w:sz w:val="18"/>
                <w:szCs w:val="18"/>
              </w:rPr>
              <w:t>P (principale)</w:t>
            </w:r>
          </w:p>
          <w:p w14:paraId="4B66F53C" w14:textId="77777777" w:rsidR="00276DF7" w:rsidRPr="009564C4" w:rsidRDefault="00276DF7" w:rsidP="00276DF7">
            <w:pPr>
              <w:shd w:val="clear" w:color="auto" w:fill="F2F2F2" w:themeFill="background1" w:themeFillShade="F2"/>
              <w:spacing w:before="60" w:after="60"/>
              <w:jc w:val="center"/>
              <w:rPr>
                <w:rFonts w:ascii="Titillium" w:hAnsi="Titillium"/>
                <w:sz w:val="18"/>
                <w:szCs w:val="18"/>
              </w:rPr>
            </w:pPr>
            <w:r w:rsidRPr="009564C4">
              <w:rPr>
                <w:rFonts w:ascii="Titillium" w:hAnsi="Titillium"/>
                <w:sz w:val="18"/>
                <w:szCs w:val="18"/>
              </w:rPr>
              <w:t>S (secondaria)</w:t>
            </w:r>
          </w:p>
        </w:tc>
        <w:tc>
          <w:tcPr>
            <w:tcW w:w="8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7DAD663" w14:textId="77777777" w:rsidR="00276DF7" w:rsidRPr="009564C4" w:rsidRDefault="00276DF7" w:rsidP="00276DF7">
            <w:pPr>
              <w:shd w:val="clear" w:color="auto" w:fill="F2F2F2" w:themeFill="background1" w:themeFillShade="F2"/>
              <w:spacing w:before="60" w:after="60"/>
              <w:jc w:val="center"/>
              <w:rPr>
                <w:rFonts w:ascii="Titillium" w:hAnsi="Titillium"/>
                <w:sz w:val="18"/>
                <w:szCs w:val="18"/>
              </w:rPr>
            </w:pPr>
            <w:r w:rsidRPr="009564C4">
              <w:rPr>
                <w:rFonts w:ascii="Titillium" w:hAnsi="Titillium"/>
                <w:sz w:val="18"/>
                <w:szCs w:val="18"/>
              </w:rPr>
              <w:t>Importo</w:t>
            </w:r>
          </w:p>
        </w:tc>
      </w:tr>
      <w:tr w:rsidR="00276DF7" w14:paraId="6867FC15" w14:textId="77777777" w:rsidTr="00EA5131">
        <w:tc>
          <w:tcPr>
            <w:tcW w:w="296" w:type="pct"/>
            <w:tcBorders>
              <w:top w:val="single" w:sz="4" w:space="0" w:color="000000"/>
              <w:left w:val="single" w:sz="4" w:space="0" w:color="000000"/>
              <w:bottom w:val="single" w:sz="4" w:space="0" w:color="000000"/>
              <w:right w:val="single" w:sz="4" w:space="0" w:color="000000"/>
            </w:tcBorders>
            <w:vAlign w:val="center"/>
          </w:tcPr>
          <w:p w14:paraId="36F59323"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1</w:t>
            </w:r>
          </w:p>
        </w:tc>
        <w:tc>
          <w:tcPr>
            <w:tcW w:w="2302" w:type="pct"/>
            <w:tcBorders>
              <w:top w:val="single" w:sz="4" w:space="0" w:color="000000"/>
              <w:left w:val="single" w:sz="4" w:space="0" w:color="000000"/>
              <w:bottom w:val="single" w:sz="4" w:space="0" w:color="000000"/>
              <w:right w:val="single" w:sz="4" w:space="0" w:color="000000"/>
            </w:tcBorders>
            <w:vAlign w:val="center"/>
          </w:tcPr>
          <w:p w14:paraId="061A68B4"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633" w:type="pct"/>
            <w:tcBorders>
              <w:top w:val="single" w:sz="4" w:space="0" w:color="000000"/>
              <w:left w:val="single" w:sz="4" w:space="0" w:color="000000"/>
              <w:bottom w:val="single" w:sz="4" w:space="0" w:color="000000"/>
              <w:right w:val="single" w:sz="4" w:space="0" w:color="000000"/>
            </w:tcBorders>
            <w:vAlign w:val="center"/>
          </w:tcPr>
          <w:p w14:paraId="3E2F83B4"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924" w:type="pct"/>
            <w:tcBorders>
              <w:top w:val="single" w:sz="4" w:space="0" w:color="000000"/>
              <w:left w:val="single" w:sz="4" w:space="0" w:color="000000"/>
              <w:bottom w:val="single" w:sz="4" w:space="0" w:color="000000"/>
              <w:right w:val="single" w:sz="4" w:space="0" w:color="000000"/>
            </w:tcBorders>
            <w:vAlign w:val="center"/>
          </w:tcPr>
          <w:p w14:paraId="3FDC60B7"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04771B89"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r>
      <w:tr w:rsidR="00276DF7" w14:paraId="0EB85B35" w14:textId="77777777" w:rsidTr="00EA5131">
        <w:tc>
          <w:tcPr>
            <w:tcW w:w="296" w:type="pct"/>
            <w:tcBorders>
              <w:top w:val="single" w:sz="4" w:space="0" w:color="000000"/>
              <w:left w:val="single" w:sz="4" w:space="0" w:color="000000"/>
              <w:bottom w:val="single" w:sz="4" w:space="0" w:color="000000"/>
              <w:right w:val="single" w:sz="4" w:space="0" w:color="000000"/>
            </w:tcBorders>
            <w:vAlign w:val="center"/>
          </w:tcPr>
          <w:p w14:paraId="783E9CFF"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2</w:t>
            </w:r>
          </w:p>
        </w:tc>
        <w:tc>
          <w:tcPr>
            <w:tcW w:w="2302" w:type="pct"/>
            <w:tcBorders>
              <w:top w:val="single" w:sz="4" w:space="0" w:color="000000"/>
              <w:left w:val="single" w:sz="4" w:space="0" w:color="000000"/>
              <w:bottom w:val="single" w:sz="4" w:space="0" w:color="000000"/>
              <w:right w:val="single" w:sz="4" w:space="0" w:color="000000"/>
            </w:tcBorders>
            <w:vAlign w:val="center"/>
          </w:tcPr>
          <w:p w14:paraId="1519EE02"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633" w:type="pct"/>
            <w:tcBorders>
              <w:top w:val="single" w:sz="4" w:space="0" w:color="000000"/>
              <w:left w:val="single" w:sz="4" w:space="0" w:color="000000"/>
              <w:bottom w:val="single" w:sz="4" w:space="0" w:color="000000"/>
              <w:right w:val="single" w:sz="4" w:space="0" w:color="000000"/>
            </w:tcBorders>
            <w:vAlign w:val="center"/>
          </w:tcPr>
          <w:p w14:paraId="1ECC7083"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924" w:type="pct"/>
            <w:tcBorders>
              <w:top w:val="single" w:sz="4" w:space="0" w:color="000000"/>
              <w:left w:val="single" w:sz="4" w:space="0" w:color="000000"/>
              <w:bottom w:val="single" w:sz="4" w:space="0" w:color="000000"/>
              <w:right w:val="single" w:sz="4" w:space="0" w:color="000000"/>
            </w:tcBorders>
            <w:vAlign w:val="center"/>
          </w:tcPr>
          <w:p w14:paraId="24050465"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6F865002"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r>
      <w:tr w:rsidR="00276DF7" w14:paraId="481E37EF" w14:textId="77777777" w:rsidTr="00EA5131">
        <w:tc>
          <w:tcPr>
            <w:tcW w:w="296" w:type="pct"/>
            <w:tcBorders>
              <w:top w:val="single" w:sz="4" w:space="0" w:color="000000"/>
              <w:left w:val="single" w:sz="4" w:space="0" w:color="000000"/>
              <w:bottom w:val="single" w:sz="4" w:space="0" w:color="000000"/>
              <w:right w:val="single" w:sz="4" w:space="0" w:color="000000"/>
            </w:tcBorders>
            <w:vAlign w:val="center"/>
          </w:tcPr>
          <w:p w14:paraId="518FCB1B"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3</w:t>
            </w:r>
          </w:p>
        </w:tc>
        <w:tc>
          <w:tcPr>
            <w:tcW w:w="2302" w:type="pct"/>
            <w:tcBorders>
              <w:top w:val="single" w:sz="4" w:space="0" w:color="000000"/>
              <w:left w:val="single" w:sz="4" w:space="0" w:color="000000"/>
              <w:bottom w:val="single" w:sz="4" w:space="0" w:color="000000"/>
              <w:right w:val="single" w:sz="4" w:space="0" w:color="000000"/>
            </w:tcBorders>
            <w:vAlign w:val="center"/>
          </w:tcPr>
          <w:p w14:paraId="146FB642"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633" w:type="pct"/>
            <w:tcBorders>
              <w:top w:val="single" w:sz="4" w:space="0" w:color="000000"/>
              <w:left w:val="single" w:sz="4" w:space="0" w:color="000000"/>
              <w:bottom w:val="single" w:sz="4" w:space="0" w:color="000000"/>
              <w:right w:val="single" w:sz="4" w:space="0" w:color="000000"/>
            </w:tcBorders>
            <w:vAlign w:val="center"/>
          </w:tcPr>
          <w:p w14:paraId="1CAFC796"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924" w:type="pct"/>
            <w:tcBorders>
              <w:top w:val="single" w:sz="4" w:space="0" w:color="000000"/>
              <w:left w:val="single" w:sz="4" w:space="0" w:color="000000"/>
              <w:bottom w:val="single" w:sz="4" w:space="0" w:color="000000"/>
              <w:right w:val="single" w:sz="4" w:space="0" w:color="000000"/>
            </w:tcBorders>
            <w:vAlign w:val="center"/>
          </w:tcPr>
          <w:p w14:paraId="1E889585"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78DCC27D"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r>
      <w:tr w:rsidR="00276DF7" w14:paraId="27D879BC" w14:textId="77777777" w:rsidTr="00EA5131">
        <w:tc>
          <w:tcPr>
            <w:tcW w:w="4155" w:type="pct"/>
            <w:gridSpan w:val="4"/>
            <w:tcBorders>
              <w:top w:val="single" w:sz="4" w:space="0" w:color="000000"/>
              <w:left w:val="single" w:sz="4" w:space="0" w:color="000000"/>
              <w:bottom w:val="single" w:sz="4" w:space="0" w:color="000000"/>
              <w:right w:val="single" w:sz="4" w:space="0" w:color="000000"/>
            </w:tcBorders>
            <w:vAlign w:val="center"/>
          </w:tcPr>
          <w:p w14:paraId="4A54B5D9" w14:textId="77777777" w:rsidR="00276DF7" w:rsidRDefault="00276DF7" w:rsidP="00276DF7">
            <w:pPr>
              <w:pStyle w:val="Paragrafoelenco"/>
              <w:numPr>
                <w:ilvl w:val="0"/>
                <w:numId w:val="79"/>
              </w:numPr>
              <w:shd w:val="clear" w:color="auto" w:fill="F2F2F2" w:themeFill="background1" w:themeFillShade="F2"/>
              <w:spacing w:before="60" w:after="60"/>
              <w:ind w:left="3261" w:hanging="284"/>
              <w:jc w:val="left"/>
            </w:pPr>
            <w:r>
              <w:rPr>
                <w:rFonts w:ascii="Titillium" w:hAnsi="Titillium"/>
                <w:b/>
                <w:sz w:val="18"/>
                <w:szCs w:val="18"/>
              </w:rPr>
              <w:t>Importo a base di gara</w:t>
            </w:r>
          </w:p>
        </w:tc>
        <w:tc>
          <w:tcPr>
            <w:tcW w:w="845" w:type="pct"/>
            <w:tcBorders>
              <w:top w:val="single" w:sz="4" w:space="0" w:color="000000"/>
              <w:left w:val="single" w:sz="4" w:space="0" w:color="000000"/>
              <w:bottom w:val="single" w:sz="4" w:space="0" w:color="000000"/>
              <w:right w:val="single" w:sz="4" w:space="0" w:color="000000"/>
            </w:tcBorders>
            <w:vAlign w:val="center"/>
          </w:tcPr>
          <w:p w14:paraId="2ED1207F"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r>
      <w:tr w:rsidR="00276DF7" w14:paraId="31369F2E" w14:textId="77777777" w:rsidTr="00EA5131">
        <w:tc>
          <w:tcPr>
            <w:tcW w:w="4155" w:type="pct"/>
            <w:gridSpan w:val="4"/>
            <w:tcBorders>
              <w:top w:val="single" w:sz="4" w:space="0" w:color="000000"/>
              <w:left w:val="single" w:sz="4" w:space="0" w:color="000000"/>
              <w:bottom w:val="single" w:sz="4" w:space="0" w:color="000000"/>
              <w:right w:val="single" w:sz="4" w:space="0" w:color="000000"/>
            </w:tcBorders>
            <w:vAlign w:val="center"/>
          </w:tcPr>
          <w:p w14:paraId="36C2F3B8" w14:textId="77777777" w:rsidR="00276DF7" w:rsidRDefault="00276DF7" w:rsidP="00276DF7">
            <w:pPr>
              <w:pStyle w:val="Paragrafoelenco"/>
              <w:numPr>
                <w:ilvl w:val="0"/>
                <w:numId w:val="79"/>
              </w:numPr>
              <w:shd w:val="clear" w:color="auto" w:fill="F2F2F2" w:themeFill="background1" w:themeFillShade="F2"/>
              <w:spacing w:before="60" w:after="60"/>
              <w:ind w:left="3232" w:hanging="284"/>
              <w:jc w:val="left"/>
            </w:pPr>
            <w:r>
              <w:rPr>
                <w:rFonts w:ascii="Titillium" w:hAnsi="Titillium"/>
                <w:b/>
                <w:sz w:val="18"/>
                <w:szCs w:val="18"/>
              </w:rPr>
              <w:t xml:space="preserve">Oneri per la sicurezza da interferenze non soggetti a ribasso </w:t>
            </w:r>
            <w:r>
              <w:rPr>
                <w:rFonts w:ascii="Titillium" w:hAnsi="Titillium"/>
                <w:i/>
                <w:sz w:val="18"/>
                <w:szCs w:val="18"/>
              </w:rPr>
              <w:t>[indicare € 0,00 in caso di assenza di rischi]</w:t>
            </w:r>
          </w:p>
        </w:tc>
        <w:tc>
          <w:tcPr>
            <w:tcW w:w="845" w:type="pct"/>
            <w:tcBorders>
              <w:top w:val="single" w:sz="4" w:space="0" w:color="000000"/>
              <w:left w:val="single" w:sz="4" w:space="0" w:color="000000"/>
              <w:bottom w:val="single" w:sz="4" w:space="0" w:color="000000"/>
              <w:right w:val="single" w:sz="4" w:space="0" w:color="000000"/>
            </w:tcBorders>
            <w:vAlign w:val="center"/>
          </w:tcPr>
          <w:p w14:paraId="700CAC30"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r>
      <w:tr w:rsidR="00276DF7" w:rsidRPr="00E42CEB" w14:paraId="32171C74" w14:textId="77777777" w:rsidTr="00EA5131">
        <w:tc>
          <w:tcPr>
            <w:tcW w:w="4155" w:type="pct"/>
            <w:gridSpan w:val="4"/>
            <w:tcBorders>
              <w:top w:val="single" w:sz="4" w:space="0" w:color="000000"/>
              <w:left w:val="single" w:sz="4" w:space="0" w:color="000000"/>
              <w:bottom w:val="single" w:sz="4" w:space="0" w:color="000000"/>
              <w:right w:val="single" w:sz="4" w:space="0" w:color="000000"/>
            </w:tcBorders>
            <w:vAlign w:val="center"/>
          </w:tcPr>
          <w:p w14:paraId="1785775D" w14:textId="77777777" w:rsidR="00276DF7" w:rsidRPr="00E42CEB" w:rsidRDefault="00276DF7" w:rsidP="00276DF7">
            <w:pPr>
              <w:pStyle w:val="Paragrafoelenco"/>
              <w:shd w:val="clear" w:color="auto" w:fill="F2F2F2" w:themeFill="background1" w:themeFillShade="F2"/>
              <w:spacing w:before="60" w:after="60"/>
              <w:ind w:left="2807" w:hanging="284"/>
              <w:jc w:val="left"/>
              <w:rPr>
                <w:rFonts w:ascii="Titillium" w:hAnsi="Titillium"/>
                <w:b/>
                <w:sz w:val="18"/>
                <w:szCs w:val="18"/>
              </w:rPr>
            </w:pPr>
            <w:r w:rsidRPr="00E42CEB">
              <w:rPr>
                <w:rFonts w:ascii="Titillium" w:hAnsi="Titillium"/>
                <w:b/>
                <w:sz w:val="18"/>
                <w:szCs w:val="18"/>
              </w:rPr>
              <w:t>A)</w:t>
            </w:r>
            <w:r>
              <w:rPr>
                <w:rFonts w:ascii="Titillium" w:hAnsi="Titillium"/>
                <w:b/>
                <w:sz w:val="18"/>
                <w:szCs w:val="18"/>
              </w:rPr>
              <w:t xml:space="preserve"> </w:t>
            </w:r>
            <w:r w:rsidRPr="00E42CEB">
              <w:rPr>
                <w:rFonts w:ascii="Titillium" w:hAnsi="Titillium"/>
                <w:b/>
                <w:sz w:val="18"/>
                <w:szCs w:val="18"/>
              </w:rPr>
              <w:t>+ B) Importo complessivo</w:t>
            </w:r>
          </w:p>
        </w:tc>
        <w:tc>
          <w:tcPr>
            <w:tcW w:w="845" w:type="pct"/>
            <w:tcBorders>
              <w:top w:val="single" w:sz="4" w:space="0" w:color="000000"/>
              <w:left w:val="single" w:sz="4" w:space="0" w:color="000000"/>
              <w:bottom w:val="single" w:sz="4" w:space="0" w:color="000000"/>
              <w:right w:val="single" w:sz="4" w:space="0" w:color="000000"/>
            </w:tcBorders>
            <w:vAlign w:val="center"/>
          </w:tcPr>
          <w:p w14:paraId="7640E17B" w14:textId="77777777" w:rsidR="00276DF7" w:rsidRPr="00E42CEB" w:rsidRDefault="00276DF7" w:rsidP="00276DF7">
            <w:pPr>
              <w:pStyle w:val="Paragrafoelenco"/>
              <w:numPr>
                <w:ilvl w:val="0"/>
                <w:numId w:val="79"/>
              </w:numPr>
              <w:shd w:val="clear" w:color="auto" w:fill="F2F2F2" w:themeFill="background1" w:themeFillShade="F2"/>
              <w:spacing w:before="60" w:after="60"/>
              <w:ind w:left="2835"/>
              <w:jc w:val="left"/>
              <w:rPr>
                <w:rFonts w:ascii="Titillium" w:hAnsi="Titillium"/>
                <w:b/>
                <w:sz w:val="18"/>
                <w:szCs w:val="18"/>
              </w:rPr>
            </w:pPr>
          </w:p>
        </w:tc>
      </w:tr>
    </w:tbl>
    <w:p w14:paraId="3BAB4FDA" w14:textId="77777777" w:rsidR="00276DF7" w:rsidRDefault="00276DF7" w:rsidP="00276DF7">
      <w:pPr>
        <w:shd w:val="clear" w:color="auto" w:fill="F2F2F2" w:themeFill="background1" w:themeFillShade="F2"/>
        <w:spacing w:before="60" w:after="60"/>
        <w:rPr>
          <w:rFonts w:ascii="Titillium" w:hAnsi="Titillium"/>
          <w:sz w:val="18"/>
          <w:szCs w:val="18"/>
        </w:rPr>
      </w:pPr>
    </w:p>
    <w:p w14:paraId="36234380" w14:textId="77777777" w:rsidR="00276DF7" w:rsidRDefault="00276DF7" w:rsidP="00276DF7">
      <w:pPr>
        <w:shd w:val="clear" w:color="auto" w:fill="F2F2F2" w:themeFill="background1" w:themeFillShade="F2"/>
        <w:spacing w:before="60" w:after="60"/>
        <w:rPr>
          <w:rFonts w:ascii="Titillium" w:hAnsi="Titillium"/>
          <w:b/>
          <w:i/>
          <w:sz w:val="18"/>
          <w:szCs w:val="18"/>
        </w:rPr>
      </w:pPr>
      <w:r w:rsidRPr="003117C4">
        <w:rPr>
          <w:rFonts w:ascii="Titillium" w:hAnsi="Titillium"/>
          <w:b/>
          <w:i/>
          <w:sz w:val="18"/>
          <w:szCs w:val="18"/>
        </w:rPr>
        <w:t>[In caso di appalto di servizi o appalto misto di servizi e forniture</w:t>
      </w:r>
      <w:r>
        <w:rPr>
          <w:rFonts w:ascii="Titillium" w:hAnsi="Titillium"/>
          <w:b/>
          <w:i/>
          <w:sz w:val="18"/>
          <w:szCs w:val="18"/>
        </w:rPr>
        <w:t xml:space="preserve"> riportare il testo seguente fino all’indicazione del contratto collettivo compreso. Non applicabile ai </w:t>
      </w:r>
      <w:r w:rsidRPr="00B309E3">
        <w:rPr>
          <w:rFonts w:ascii="Titillium" w:hAnsi="Titillium"/>
          <w:b/>
          <w:i/>
          <w:sz w:val="18"/>
          <w:szCs w:val="18"/>
        </w:rPr>
        <w:t>servizi di natura intellettuale e</w:t>
      </w:r>
      <w:r>
        <w:rPr>
          <w:rFonts w:ascii="Titillium" w:hAnsi="Titillium"/>
          <w:b/>
          <w:i/>
          <w:sz w:val="18"/>
          <w:szCs w:val="18"/>
        </w:rPr>
        <w:t>d alle</w:t>
      </w:r>
      <w:r w:rsidRPr="00B309E3">
        <w:rPr>
          <w:rFonts w:ascii="Titillium" w:hAnsi="Titillium"/>
          <w:b/>
          <w:i/>
          <w:sz w:val="18"/>
          <w:szCs w:val="18"/>
        </w:rPr>
        <w:t xml:space="preserve"> fornitur</w:t>
      </w:r>
      <w:r>
        <w:rPr>
          <w:rFonts w:ascii="Titillium" w:hAnsi="Titillium"/>
          <w:b/>
          <w:i/>
          <w:sz w:val="18"/>
          <w:szCs w:val="18"/>
        </w:rPr>
        <w:t>e</w:t>
      </w:r>
      <w:r w:rsidRPr="00B309E3">
        <w:rPr>
          <w:rFonts w:ascii="Titillium" w:hAnsi="Titillium"/>
          <w:b/>
          <w:i/>
          <w:sz w:val="18"/>
          <w:szCs w:val="18"/>
        </w:rPr>
        <w:t xml:space="preserve"> senza posa in opera</w:t>
      </w:r>
      <w:r w:rsidRPr="003117C4">
        <w:rPr>
          <w:rFonts w:ascii="Titillium" w:hAnsi="Titillium"/>
          <w:b/>
          <w:i/>
          <w:sz w:val="18"/>
          <w:szCs w:val="18"/>
        </w:rPr>
        <w:t>]</w:t>
      </w:r>
    </w:p>
    <w:p w14:paraId="01E14F29" w14:textId="77777777" w:rsidR="00276DF7" w:rsidRDefault="00276DF7" w:rsidP="00276DF7">
      <w:pPr>
        <w:shd w:val="clear" w:color="auto" w:fill="F2F2F2" w:themeFill="background1" w:themeFillShade="F2"/>
        <w:spacing w:before="60" w:after="60"/>
      </w:pPr>
      <w:r>
        <w:rPr>
          <w:rFonts w:ascii="Titillium" w:hAnsi="Titillium"/>
          <w:sz w:val="18"/>
          <w:szCs w:val="18"/>
        </w:rPr>
        <w:t xml:space="preserve">L’importo a base di gara comprende i costi della manodopera che la stazione appaltante ha stimato pari ad € </w:t>
      </w:r>
      <w:r>
        <w:rPr>
          <w:rFonts w:ascii="Titillium" w:hAnsi="Titillium"/>
          <w:i/>
          <w:sz w:val="18"/>
          <w:szCs w:val="18"/>
        </w:rPr>
        <w:t xml:space="preserve">… [indicare l’importo] </w:t>
      </w:r>
      <w:r>
        <w:rPr>
          <w:rFonts w:ascii="Titillium" w:hAnsi="Titillium"/>
          <w:sz w:val="18"/>
          <w:szCs w:val="18"/>
        </w:rPr>
        <w:t xml:space="preserve">calcolati sulla base dei seguenti elementi … </w:t>
      </w:r>
      <w:r>
        <w:rPr>
          <w:rFonts w:ascii="Titillium" w:hAnsi="Titillium"/>
          <w:i/>
          <w:sz w:val="18"/>
          <w:szCs w:val="18"/>
        </w:rPr>
        <w:t xml:space="preserve">[precisare gli elementi attraverso i quali si è pervenuti alla determinazione del costo stimato </w:t>
      </w:r>
      <w:r w:rsidRPr="003117C4">
        <w:rPr>
          <w:rFonts w:ascii="Titillium" w:hAnsi="Titillium"/>
          <w:i/>
          <w:sz w:val="18"/>
          <w:szCs w:val="18"/>
        </w:rPr>
        <w:t>o</w:t>
      </w:r>
      <w:r>
        <w:rPr>
          <w:rFonts w:ascii="Titillium" w:hAnsi="Titillium"/>
          <w:i/>
          <w:sz w:val="18"/>
          <w:szCs w:val="18"/>
        </w:rPr>
        <w:t xml:space="preserve"> eventualmente</w:t>
      </w:r>
      <w:r w:rsidRPr="003117C4">
        <w:rPr>
          <w:rFonts w:ascii="Titillium" w:hAnsi="Titillium"/>
          <w:i/>
          <w:sz w:val="18"/>
          <w:szCs w:val="18"/>
        </w:rPr>
        <w:t xml:space="preserve"> indicare l’allegato che contiene questa informazione</w:t>
      </w:r>
      <w:r>
        <w:rPr>
          <w:rFonts w:ascii="Titillium" w:hAnsi="Titillium"/>
          <w:i/>
          <w:sz w:val="18"/>
          <w:szCs w:val="18"/>
        </w:rPr>
        <w:t xml:space="preserve">] </w:t>
      </w:r>
      <w:r w:rsidRPr="00E062AB">
        <w:rPr>
          <w:rFonts w:ascii="Titillium" w:hAnsi="Titillium"/>
          <w:iCs/>
          <w:sz w:val="18"/>
          <w:szCs w:val="18"/>
        </w:rPr>
        <w:t>e riferiti a</w:t>
      </w:r>
      <w:r>
        <w:rPr>
          <w:rFonts w:ascii="Titillium" w:hAnsi="Titillium"/>
          <w:iCs/>
          <w:sz w:val="18"/>
          <w:szCs w:val="18"/>
        </w:rPr>
        <w:t xml:space="preserve"> … </w:t>
      </w:r>
      <w:r>
        <w:rPr>
          <w:rFonts w:ascii="Titillium" w:hAnsi="Titillium"/>
          <w:i/>
          <w:sz w:val="18"/>
          <w:szCs w:val="18"/>
        </w:rPr>
        <w:t xml:space="preserve"> [specificare a quali servizi o forniture si riferiscono i costi della manodopera]</w:t>
      </w:r>
      <w:r>
        <w:rPr>
          <w:rFonts w:ascii="Titillium" w:hAnsi="Titillium"/>
          <w:sz w:val="18"/>
          <w:szCs w:val="18"/>
        </w:rPr>
        <w:t>.</w:t>
      </w:r>
    </w:p>
    <w:p w14:paraId="3BA67A36" w14:textId="77777777" w:rsidR="00276DF7" w:rsidRDefault="00276DF7" w:rsidP="00276DF7">
      <w:pPr>
        <w:shd w:val="clear" w:color="auto" w:fill="F2F2F2" w:themeFill="background1" w:themeFillShade="F2"/>
        <w:spacing w:before="60" w:after="60"/>
        <w:rPr>
          <w:rFonts w:ascii="Titillium" w:hAnsi="Titillium"/>
          <w:iCs/>
          <w:sz w:val="18"/>
          <w:szCs w:val="18"/>
        </w:rPr>
      </w:pPr>
      <w:r w:rsidRPr="00B309E3">
        <w:rPr>
          <w:rFonts w:ascii="Titillium" w:hAnsi="Titillium"/>
          <w:b/>
          <w:bCs/>
          <w:iCs/>
          <w:sz w:val="18"/>
          <w:szCs w:val="18"/>
        </w:rPr>
        <w:t>I costi della manodopera non sono soggetti al ribasso</w:t>
      </w:r>
      <w:r w:rsidRPr="00B309E3">
        <w:rPr>
          <w:rFonts w:ascii="Titillium" w:hAnsi="Titillium"/>
          <w:iCs/>
          <w:sz w:val="18"/>
          <w:szCs w:val="18"/>
        </w:rPr>
        <w:t>.</w:t>
      </w:r>
    </w:p>
    <w:p w14:paraId="7CAB4ACC" w14:textId="77777777" w:rsidR="00276DF7" w:rsidRPr="00815271" w:rsidRDefault="00276DF7" w:rsidP="00276DF7">
      <w:pPr>
        <w:shd w:val="clear" w:color="auto" w:fill="F2F2F2" w:themeFill="background1" w:themeFillShade="F2"/>
        <w:spacing w:before="60" w:after="60"/>
        <w:rPr>
          <w:rFonts w:ascii="Titillium" w:hAnsi="Titillium"/>
          <w:iCs/>
          <w:sz w:val="18"/>
          <w:szCs w:val="18"/>
        </w:rPr>
      </w:pPr>
      <w:r w:rsidRPr="00815271">
        <w:rPr>
          <w:rFonts w:ascii="Titillium" w:hAnsi="Titillium"/>
          <w:iCs/>
          <w:sz w:val="18"/>
          <w:szCs w:val="18"/>
        </w:rPr>
        <w:t xml:space="preserve">Il contratto collettivo applicato è/I contratti collettivi applicati sono </w:t>
      </w:r>
      <w:r w:rsidRPr="00B309E3">
        <w:rPr>
          <w:rFonts w:ascii="Titillium" w:hAnsi="Titillium"/>
          <w:i/>
          <w:sz w:val="18"/>
          <w:szCs w:val="18"/>
        </w:rPr>
        <w:t>... [fornire i dettagli in questa sezione o mediante rinvio ad un allegato]</w:t>
      </w:r>
      <w:r w:rsidRPr="00815271">
        <w:rPr>
          <w:rFonts w:ascii="Titillium" w:hAnsi="Titillium"/>
          <w:iCs/>
          <w:sz w:val="18"/>
          <w:szCs w:val="18"/>
        </w:rPr>
        <w:t>.</w:t>
      </w:r>
    </w:p>
    <w:p w14:paraId="52617B81" w14:textId="77777777" w:rsidR="00276DF7" w:rsidRDefault="00276DF7" w:rsidP="00276DF7">
      <w:pPr>
        <w:shd w:val="clear" w:color="auto" w:fill="F2F2F2" w:themeFill="background1" w:themeFillShade="F2"/>
        <w:spacing w:before="60" w:after="60"/>
      </w:pPr>
      <w:r>
        <w:rPr>
          <w:rFonts w:ascii="Titillium" w:hAnsi="Titillium" w:cs="Calibri"/>
          <w:b/>
          <w:i/>
          <w:sz w:val="18"/>
          <w:szCs w:val="18"/>
        </w:rPr>
        <w:t xml:space="preserve">[In caso di pubblicazione dei prezzi di riferimento dei beni o servizi oggetto di </w:t>
      </w:r>
      <w:r w:rsidRPr="00F44182">
        <w:rPr>
          <w:rFonts w:ascii="Titillium" w:hAnsi="Titillium" w:cs="Calibri"/>
          <w:b/>
          <w:i/>
          <w:sz w:val="18"/>
          <w:szCs w:val="18"/>
        </w:rPr>
        <w:t xml:space="preserve">affidamento] </w:t>
      </w:r>
      <w:r w:rsidRPr="00F44182">
        <w:rPr>
          <w:rFonts w:ascii="Titillium" w:hAnsi="Titillium"/>
          <w:sz w:val="18"/>
          <w:szCs w:val="18"/>
        </w:rPr>
        <w:t xml:space="preserve">L’importo a base di gara è stato calcolato considerando i prezzi di riferimento per … </w:t>
      </w:r>
      <w:r w:rsidRPr="00F44182">
        <w:rPr>
          <w:rFonts w:ascii="Titillium" w:hAnsi="Titillium"/>
          <w:i/>
          <w:sz w:val="18"/>
          <w:szCs w:val="18"/>
        </w:rPr>
        <w:t>[inserire i beni o servizi]</w:t>
      </w:r>
      <w:r w:rsidRPr="00F44182">
        <w:rPr>
          <w:rFonts w:ascii="Titillium" w:hAnsi="Titillium"/>
          <w:sz w:val="18"/>
          <w:szCs w:val="18"/>
        </w:rPr>
        <w:t xml:space="preserve">, di cui alla delibera dell’ANAC n. … del … </w:t>
      </w:r>
      <w:r w:rsidRPr="00F44182">
        <w:rPr>
          <w:rFonts w:ascii="Titillium" w:hAnsi="Titillium"/>
          <w:i/>
          <w:sz w:val="18"/>
          <w:szCs w:val="18"/>
        </w:rPr>
        <w:t>[la stazione appaltante indica la delibera di riferimento vigente alla data di pubblicazione</w:t>
      </w:r>
      <w:r w:rsidRPr="001C67CA">
        <w:rPr>
          <w:rFonts w:ascii="Titillium" w:hAnsi="Titillium"/>
          <w:i/>
          <w:sz w:val="18"/>
          <w:szCs w:val="18"/>
        </w:rPr>
        <w:t xml:space="preserve"> del bando]</w:t>
      </w:r>
      <w:r w:rsidRPr="001C67CA">
        <w:rPr>
          <w:rFonts w:ascii="Titillium" w:hAnsi="Titillium"/>
          <w:sz w:val="18"/>
          <w:szCs w:val="18"/>
        </w:rPr>
        <w:t>.</w:t>
      </w:r>
    </w:p>
    <w:p w14:paraId="00CBE666" w14:textId="77777777" w:rsidR="00276DF7" w:rsidRDefault="00276DF7" w:rsidP="00276DF7">
      <w:pPr>
        <w:shd w:val="clear" w:color="auto" w:fill="F2F2F2" w:themeFill="background1" w:themeFillShade="F2"/>
        <w:spacing w:before="60" w:after="60"/>
        <w:rPr>
          <w:rFonts w:ascii="Titillium" w:hAnsi="Titillium" w:cs="Calibri"/>
          <w:i/>
          <w:iCs/>
          <w:sz w:val="18"/>
          <w:szCs w:val="18"/>
        </w:rPr>
      </w:pPr>
      <w:r w:rsidRPr="00F44182">
        <w:rPr>
          <w:rFonts w:ascii="Titillium" w:hAnsi="Titillium" w:cs="Calibri"/>
          <w:b/>
          <w:bCs/>
          <w:i/>
          <w:iCs/>
          <w:sz w:val="18"/>
          <w:szCs w:val="18"/>
        </w:rPr>
        <w:t>[In caso di oneri per la sicurezza da interferenze di importo pari a € 0,00]</w:t>
      </w:r>
      <w:r w:rsidRPr="0099078E">
        <w:rPr>
          <w:rFonts w:ascii="Titillium" w:hAnsi="Titillium" w:cs="Calibri"/>
          <w:sz w:val="18"/>
          <w:szCs w:val="18"/>
        </w:rPr>
        <w:t xml:space="preserve"> </w:t>
      </w:r>
      <w:r>
        <w:rPr>
          <w:rFonts w:ascii="Titillium" w:hAnsi="Titillium" w:cs="Calibri"/>
          <w:sz w:val="18"/>
          <w:szCs w:val="18"/>
        </w:rPr>
        <w:t>L’importo</w:t>
      </w:r>
      <w:r w:rsidRPr="00C32E81">
        <w:rPr>
          <w:rFonts w:ascii="Titillium" w:hAnsi="Titillium" w:cs="Calibri"/>
          <w:sz w:val="18"/>
          <w:szCs w:val="18"/>
        </w:rPr>
        <w:t xml:space="preserve"> degli oneri per la sicurezza d</w:t>
      </w:r>
      <w:r>
        <w:rPr>
          <w:rFonts w:ascii="Titillium" w:hAnsi="Titillium" w:cs="Calibri"/>
          <w:sz w:val="18"/>
          <w:szCs w:val="18"/>
        </w:rPr>
        <w:t>a interferenze è pari a € 0,00 poiché ...</w:t>
      </w:r>
      <w:r w:rsidRPr="0099078E">
        <w:rPr>
          <w:rFonts w:ascii="Titillium" w:hAnsi="Titillium" w:cs="Calibri"/>
          <w:i/>
          <w:iCs/>
          <w:sz w:val="18"/>
          <w:szCs w:val="18"/>
        </w:rPr>
        <w:t xml:space="preserve"> </w:t>
      </w:r>
      <w:r>
        <w:rPr>
          <w:rFonts w:ascii="Titillium" w:hAnsi="Titillium" w:cs="Calibri"/>
          <w:i/>
          <w:iCs/>
          <w:sz w:val="18"/>
          <w:szCs w:val="18"/>
        </w:rPr>
        <w:t>[</w:t>
      </w:r>
      <w:r w:rsidRPr="0099078E">
        <w:rPr>
          <w:rFonts w:ascii="Titillium" w:hAnsi="Titillium" w:cs="Calibri"/>
          <w:i/>
          <w:iCs/>
          <w:sz w:val="18"/>
          <w:szCs w:val="18"/>
        </w:rPr>
        <w:t>indicare i motivi</w:t>
      </w:r>
      <w:r>
        <w:rPr>
          <w:rFonts w:ascii="Titillium" w:hAnsi="Titillium" w:cs="Calibri"/>
          <w:i/>
          <w:iCs/>
          <w:sz w:val="18"/>
          <w:szCs w:val="18"/>
        </w:rPr>
        <w:t>]</w:t>
      </w:r>
    </w:p>
    <w:p w14:paraId="29528510"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sz w:val="18"/>
          <w:szCs w:val="18"/>
        </w:rPr>
        <w:t xml:space="preserve">L’importo complessivo è al </w:t>
      </w:r>
      <w:r>
        <w:rPr>
          <w:rFonts w:ascii="Titillium" w:hAnsi="Titillium" w:cs="Calibri"/>
          <w:sz w:val="18"/>
          <w:szCs w:val="18"/>
        </w:rPr>
        <w:t>netto di</w:t>
      </w:r>
      <w:r>
        <w:rPr>
          <w:rFonts w:ascii="Titillium" w:hAnsi="Titillium" w:cs="Calibri"/>
          <w:i/>
          <w:sz w:val="18"/>
          <w:szCs w:val="18"/>
        </w:rPr>
        <w:t xml:space="preserve"> </w:t>
      </w:r>
      <w:r>
        <w:rPr>
          <w:rFonts w:ascii="Titillium" w:hAnsi="Titillium" w:cs="Calibri"/>
          <w:sz w:val="18"/>
          <w:szCs w:val="18"/>
        </w:rPr>
        <w:t>Iva</w:t>
      </w:r>
      <w:r w:rsidRPr="00C32E81">
        <w:rPr>
          <w:rFonts w:ascii="Titillium" w:hAnsi="Titillium" w:cs="Calibri"/>
          <w:sz w:val="18"/>
          <w:szCs w:val="18"/>
        </w:rPr>
        <w:t>.</w:t>
      </w:r>
    </w:p>
    <w:p w14:paraId="5DC77E85"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i/>
          <w:sz w:val="18"/>
          <w:szCs w:val="18"/>
        </w:rPr>
      </w:pPr>
      <w:r>
        <w:rPr>
          <w:rFonts w:ascii="Titillium" w:hAnsi="Titillium"/>
          <w:i/>
          <w:sz w:val="18"/>
          <w:szCs w:val="18"/>
        </w:rPr>
        <w:t>N.B. La stazione appaltante deve dettagliare, nel bando o in un apposito allegato, le modalità di calcolo della base d’asta, esplicitando le componenti e le relative quantità che hanno condotto all’importo complessivo.</w:t>
      </w:r>
    </w:p>
    <w:p w14:paraId="494D9323" w14:textId="77777777" w:rsidR="00276DF7" w:rsidRDefault="00276DF7" w:rsidP="00276DF7">
      <w:pPr>
        <w:shd w:val="clear" w:color="auto" w:fill="F2F2F2" w:themeFill="background1" w:themeFillShade="F2"/>
        <w:spacing w:before="60" w:after="60"/>
        <w:rPr>
          <w:rFonts w:ascii="Titillium" w:hAnsi="Titillium"/>
          <w:sz w:val="18"/>
          <w:szCs w:val="18"/>
        </w:rPr>
      </w:pPr>
    </w:p>
    <w:p w14:paraId="40128D91"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 xml:space="preserve">L’appalto è finanziato con </w:t>
      </w:r>
      <w:r>
        <w:rPr>
          <w:rFonts w:ascii="Titillium" w:hAnsi="Titillium"/>
          <w:i/>
          <w:sz w:val="18"/>
          <w:szCs w:val="18"/>
        </w:rPr>
        <w:t>… [descrivere le fonti di finanziamento]</w:t>
      </w:r>
      <w:r>
        <w:rPr>
          <w:rFonts w:ascii="Titillium" w:hAnsi="Titillium"/>
          <w:sz w:val="18"/>
          <w:szCs w:val="18"/>
        </w:rPr>
        <w:t>.</w:t>
      </w:r>
    </w:p>
    <w:p w14:paraId="22CDC413" w14:textId="77777777" w:rsidR="00276DF7" w:rsidRDefault="00276DF7" w:rsidP="00276DF7">
      <w:pPr>
        <w:shd w:val="clear" w:color="auto" w:fill="F2F2F2" w:themeFill="background1" w:themeFillShade="F2"/>
        <w:spacing w:before="60" w:after="60"/>
      </w:pPr>
    </w:p>
    <w:p w14:paraId="4AE7E2EB" w14:textId="77777777" w:rsidR="00276DF7" w:rsidRPr="00974DF5" w:rsidRDefault="00276DF7" w:rsidP="00276DF7">
      <w:pPr>
        <w:pStyle w:val="Titolo3"/>
        <w:numPr>
          <w:ilvl w:val="1"/>
          <w:numId w:val="4"/>
        </w:numPr>
        <w:shd w:val="clear" w:color="auto" w:fill="F2F2F2" w:themeFill="background1" w:themeFillShade="F2"/>
        <w:spacing w:before="120"/>
        <w:ind w:left="426" w:hanging="426"/>
      </w:pPr>
      <w:bookmarkStart w:id="191" w:name="_Toc484688264"/>
      <w:bookmarkStart w:id="192" w:name="_Toc484605395"/>
      <w:bookmarkStart w:id="193" w:name="_Toc484605271"/>
      <w:bookmarkStart w:id="194" w:name="_Toc484526551"/>
      <w:bookmarkStart w:id="195" w:name="_Toc484449056"/>
      <w:bookmarkStart w:id="196" w:name="_Toc484448932"/>
      <w:bookmarkStart w:id="197" w:name="_Toc484448808"/>
      <w:bookmarkStart w:id="198" w:name="_Toc484448685"/>
      <w:bookmarkStart w:id="199" w:name="_Toc484448561"/>
      <w:bookmarkStart w:id="200" w:name="_Toc484448437"/>
      <w:bookmarkStart w:id="201" w:name="_Toc484448313"/>
      <w:bookmarkStart w:id="202" w:name="_Toc484448189"/>
      <w:bookmarkStart w:id="203" w:name="_Toc484448064"/>
      <w:bookmarkStart w:id="204" w:name="_Toc484440405"/>
      <w:bookmarkStart w:id="205" w:name="_Toc484440045"/>
      <w:bookmarkStart w:id="206" w:name="_Toc484439921"/>
      <w:bookmarkStart w:id="207" w:name="_Toc484439798"/>
      <w:bookmarkStart w:id="208" w:name="_Toc484438878"/>
      <w:bookmarkStart w:id="209" w:name="_Toc484438754"/>
      <w:bookmarkStart w:id="210" w:name="_Toc484438630"/>
      <w:bookmarkStart w:id="211" w:name="_Toc484429055"/>
      <w:bookmarkStart w:id="212" w:name="_Toc484428885"/>
      <w:bookmarkStart w:id="213" w:name="_Toc484097713"/>
      <w:bookmarkStart w:id="214" w:name="_Toc484011639"/>
      <w:bookmarkStart w:id="215" w:name="_Toc484011164"/>
      <w:bookmarkStart w:id="216" w:name="_Toc484011042"/>
      <w:bookmarkStart w:id="217" w:name="_Toc484010920"/>
      <w:bookmarkStart w:id="218" w:name="_Toc484010796"/>
      <w:bookmarkStart w:id="219" w:name="_Toc484010674"/>
      <w:bookmarkStart w:id="220" w:name="_Toc483906924"/>
      <w:bookmarkStart w:id="221" w:name="_Toc483571547"/>
      <w:bookmarkStart w:id="222" w:name="_Toc483571426"/>
      <w:bookmarkStart w:id="223" w:name="_Toc483473997"/>
      <w:bookmarkStart w:id="224" w:name="_Toc483401200"/>
      <w:bookmarkStart w:id="225" w:name="_Toc483325721"/>
      <w:bookmarkStart w:id="226" w:name="_Toc483316418"/>
      <w:bookmarkStart w:id="227" w:name="_Toc483316287"/>
      <w:bookmarkStart w:id="228" w:name="_Toc483316084"/>
      <w:bookmarkStart w:id="229" w:name="_Toc483315878"/>
      <w:bookmarkStart w:id="230" w:name="_Toc483302328"/>
      <w:bookmarkStart w:id="231" w:name="_Toc485218255"/>
      <w:bookmarkStart w:id="232" w:name="_Toc484688819"/>
      <w:bookmarkStart w:id="233" w:name="_Toc139549418"/>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974DF5">
        <w:rPr>
          <w:rFonts w:ascii="Titillium" w:hAnsi="Titillium"/>
          <w:sz w:val="18"/>
          <w:szCs w:val="18"/>
          <w:lang w:val="it-IT"/>
        </w:rPr>
        <w:t>D</w:t>
      </w:r>
      <w:r w:rsidRPr="00974DF5">
        <w:rPr>
          <w:rFonts w:ascii="Titillium" w:hAnsi="Titillium"/>
          <w:sz w:val="18"/>
          <w:szCs w:val="18"/>
        </w:rPr>
        <w:t>URATA</w:t>
      </w:r>
      <w:bookmarkEnd w:id="233"/>
      <w:r w:rsidRPr="00974DF5">
        <w:rPr>
          <w:rFonts w:ascii="Titillium" w:hAnsi="Titillium"/>
          <w:sz w:val="18"/>
          <w:szCs w:val="18"/>
          <w:lang w:val="it-IT"/>
        </w:rPr>
        <w:t xml:space="preserve"> </w:t>
      </w:r>
    </w:p>
    <w:p w14:paraId="3CF93F4B" w14:textId="77777777" w:rsidR="00276DF7" w:rsidRPr="00F5507D" w:rsidRDefault="00276DF7" w:rsidP="00276DF7">
      <w:pPr>
        <w:shd w:val="clear" w:color="auto" w:fill="F2F2F2" w:themeFill="background1" w:themeFillShade="F2"/>
        <w:spacing w:before="120" w:after="60"/>
        <w:rPr>
          <w:rFonts w:ascii="Titillium" w:hAnsi="Titillium"/>
          <w:sz w:val="18"/>
          <w:szCs w:val="18"/>
        </w:rPr>
      </w:pPr>
      <w:r w:rsidRPr="00F5507D">
        <w:rPr>
          <w:rFonts w:ascii="Titillium" w:hAnsi="Titillium"/>
          <w:b/>
          <w:bCs/>
          <w:i/>
          <w:sz w:val="18"/>
          <w:szCs w:val="18"/>
        </w:rPr>
        <w:t>[In caso di appalto di servizi]</w:t>
      </w:r>
      <w:r w:rsidRPr="00F5507D">
        <w:rPr>
          <w:rFonts w:ascii="Titillium" w:hAnsi="Titillium"/>
          <w:sz w:val="18"/>
          <w:szCs w:val="18"/>
        </w:rPr>
        <w:t xml:space="preserve"> La durata dell’appalto (escluse le eventuali opzioni) è di … </w:t>
      </w:r>
      <w:r w:rsidRPr="00950882">
        <w:rPr>
          <w:rFonts w:ascii="Titillium" w:hAnsi="Titillium"/>
          <w:i/>
          <w:iCs/>
          <w:sz w:val="18"/>
          <w:szCs w:val="18"/>
        </w:rPr>
        <w:t>[indicare mesi/anni],</w:t>
      </w:r>
      <w:r w:rsidRPr="00F5507D">
        <w:rPr>
          <w:rFonts w:ascii="Titillium" w:hAnsi="Titillium"/>
          <w:sz w:val="18"/>
          <w:szCs w:val="18"/>
        </w:rPr>
        <w:t xml:space="preserve"> decorrenti dalla data di … </w:t>
      </w:r>
      <w:r w:rsidRPr="00950882">
        <w:rPr>
          <w:rFonts w:ascii="Titillium" w:hAnsi="Titillium"/>
          <w:i/>
          <w:iCs/>
          <w:sz w:val="18"/>
          <w:szCs w:val="18"/>
        </w:rPr>
        <w:t>[indicare il termine iniziale: per esempio la sottoscrizione del contratto. In caso di suddivisione dell’appalto in più lotti specificare eventuali durate differenziate per ciascun lotto].</w:t>
      </w:r>
    </w:p>
    <w:p w14:paraId="40FDE5A1" w14:textId="77777777" w:rsidR="00276DF7" w:rsidRDefault="00276DF7" w:rsidP="00276DF7">
      <w:pPr>
        <w:shd w:val="clear" w:color="auto" w:fill="F2F2F2" w:themeFill="background1" w:themeFillShade="F2"/>
        <w:spacing w:before="120" w:after="60"/>
        <w:rPr>
          <w:rFonts w:ascii="Titillium" w:hAnsi="Titillium"/>
          <w:sz w:val="18"/>
          <w:szCs w:val="18"/>
        </w:rPr>
      </w:pPr>
      <w:r w:rsidRPr="00E7138C">
        <w:rPr>
          <w:rFonts w:ascii="Titillium" w:hAnsi="Titillium"/>
          <w:b/>
          <w:i/>
          <w:sz w:val="18"/>
          <w:szCs w:val="18"/>
        </w:rPr>
        <w:t>[In caso di appalto di forniture]</w:t>
      </w:r>
      <w:r>
        <w:rPr>
          <w:rFonts w:ascii="Titillium" w:hAnsi="Titillium"/>
          <w:sz w:val="18"/>
          <w:szCs w:val="18"/>
        </w:rPr>
        <w:t xml:space="preserve"> La fornitura è effettuata ... </w:t>
      </w:r>
      <w:r w:rsidRPr="00950882">
        <w:rPr>
          <w:rFonts w:ascii="Titillium" w:hAnsi="Titillium"/>
          <w:i/>
          <w:iCs/>
          <w:sz w:val="18"/>
          <w:szCs w:val="18"/>
        </w:rPr>
        <w:t>[indicare</w:t>
      </w:r>
      <w:r>
        <w:rPr>
          <w:rFonts w:ascii="Titillium" w:hAnsi="Titillium"/>
          <w:i/>
          <w:sz w:val="18"/>
          <w:szCs w:val="18"/>
        </w:rPr>
        <w:t xml:space="preserve"> i termini per l’esecuzione della fornitura, per esempio entro 30 giorni; con cadenza quindicinale secondo quanto specificato nel progetto</w:t>
      </w:r>
      <w:r w:rsidRPr="00950882">
        <w:rPr>
          <w:rFonts w:ascii="Titillium" w:hAnsi="Titillium"/>
          <w:i/>
          <w:iCs/>
          <w:sz w:val="18"/>
          <w:szCs w:val="18"/>
        </w:rPr>
        <w:t>]</w:t>
      </w:r>
      <w:r>
        <w:rPr>
          <w:rFonts w:ascii="Titillium" w:hAnsi="Titillium"/>
          <w:sz w:val="18"/>
          <w:szCs w:val="18"/>
        </w:rPr>
        <w:t xml:space="preserve">, decorrenti dalla data di … </w:t>
      </w:r>
      <w:r w:rsidRPr="00950882">
        <w:rPr>
          <w:rFonts w:ascii="Titillium" w:hAnsi="Titillium"/>
          <w:i/>
          <w:iCs/>
          <w:sz w:val="18"/>
          <w:szCs w:val="18"/>
        </w:rPr>
        <w:t>[i</w:t>
      </w:r>
      <w:r>
        <w:rPr>
          <w:rFonts w:ascii="Titillium" w:hAnsi="Titillium"/>
          <w:i/>
          <w:sz w:val="18"/>
          <w:szCs w:val="18"/>
        </w:rPr>
        <w:t>ndicare il termine iniziale: per esempio la sottoscrizione del contratto. In caso di suddivisione dell’appalto in più lotti specificare eventuali durate differenziate per ciascun lo</w:t>
      </w:r>
      <w:r w:rsidRPr="00AA00BF">
        <w:rPr>
          <w:rFonts w:ascii="Titillium" w:hAnsi="Titillium"/>
          <w:i/>
          <w:sz w:val="18"/>
          <w:szCs w:val="18"/>
        </w:rPr>
        <w:t>tto]</w:t>
      </w:r>
      <w:r w:rsidRPr="00950882">
        <w:rPr>
          <w:rFonts w:ascii="Titillium" w:hAnsi="Titillium"/>
          <w:iCs/>
          <w:sz w:val="18"/>
          <w:szCs w:val="18"/>
        </w:rPr>
        <w:t>.</w:t>
      </w:r>
    </w:p>
    <w:p w14:paraId="675F32F8" w14:textId="77777777" w:rsidR="00276DF7" w:rsidRDefault="00276DF7" w:rsidP="00276DF7">
      <w:pPr>
        <w:shd w:val="clear" w:color="auto" w:fill="F2F2F2" w:themeFill="background1" w:themeFillShade="F2"/>
        <w:spacing w:before="120" w:after="60"/>
        <w:rPr>
          <w:rFonts w:ascii="Titillium" w:hAnsi="Titillium"/>
          <w:sz w:val="18"/>
          <w:szCs w:val="18"/>
        </w:rPr>
      </w:pPr>
    </w:p>
    <w:p w14:paraId="4A3339FF" w14:textId="77777777" w:rsidR="00276DF7" w:rsidRPr="00FD309B" w:rsidRDefault="00276DF7" w:rsidP="00276DF7">
      <w:pPr>
        <w:pStyle w:val="Titolo3"/>
        <w:numPr>
          <w:ilvl w:val="1"/>
          <w:numId w:val="4"/>
        </w:numPr>
        <w:shd w:val="clear" w:color="auto" w:fill="F2F2F2" w:themeFill="background1" w:themeFillShade="F2"/>
        <w:spacing w:before="120"/>
        <w:ind w:left="426" w:hanging="426"/>
        <w:rPr>
          <w:rFonts w:ascii="Titillium" w:hAnsi="Titillium"/>
          <w:sz w:val="18"/>
          <w:szCs w:val="18"/>
          <w:lang w:val="it-IT"/>
        </w:rPr>
      </w:pPr>
      <w:bookmarkStart w:id="234" w:name="_Toc139549419"/>
      <w:r>
        <w:rPr>
          <w:rFonts w:ascii="Titillium" w:hAnsi="Titillium"/>
          <w:sz w:val="18"/>
          <w:szCs w:val="18"/>
          <w:lang w:val="it-IT"/>
        </w:rPr>
        <w:t>REVISIONE PREZZI</w:t>
      </w:r>
      <w:bookmarkEnd w:id="234"/>
    </w:p>
    <w:p w14:paraId="2A44C6AD" w14:textId="77777777" w:rsidR="00276DF7" w:rsidRDefault="00276DF7" w:rsidP="00276DF7">
      <w:pPr>
        <w:shd w:val="clear" w:color="auto" w:fill="F2F2F2" w:themeFill="background1" w:themeFillShade="F2"/>
        <w:spacing w:before="120" w:after="60"/>
        <w:rPr>
          <w:rFonts w:ascii="Titillium" w:hAnsi="Titillium"/>
          <w:sz w:val="18"/>
          <w:szCs w:val="18"/>
        </w:rPr>
      </w:pPr>
      <w:r>
        <w:rPr>
          <w:rFonts w:ascii="Titillium" w:hAnsi="Titillium"/>
          <w:b/>
          <w:bCs/>
          <w:iCs/>
          <w:sz w:val="18"/>
          <w:szCs w:val="18"/>
        </w:rPr>
        <w:t>Q</w:t>
      </w:r>
      <w:r w:rsidRPr="00FD309B">
        <w:rPr>
          <w:rFonts w:ascii="Titillium" w:hAnsi="Titillium"/>
          <w:iCs/>
          <w:sz w:val="18"/>
          <w:szCs w:val="18"/>
        </w:rPr>
        <w:t>ualora nel corso di esecuzione del contratto</w:t>
      </w:r>
      <w:r>
        <w:rPr>
          <w:rFonts w:ascii="Titillium" w:hAnsi="Titillium"/>
          <w:iCs/>
          <w:sz w:val="18"/>
          <w:szCs w:val="18"/>
        </w:rPr>
        <w:t>, al verificarsi di particolari condizioni di natura oggettiva,</w:t>
      </w:r>
      <w:r w:rsidRPr="00FD309B">
        <w:rPr>
          <w:rFonts w:ascii="Titillium" w:hAnsi="Titillium"/>
          <w:iCs/>
          <w:sz w:val="18"/>
          <w:szCs w:val="18"/>
        </w:rPr>
        <w:t xml:space="preserve"> si </w:t>
      </w:r>
      <w:r>
        <w:rPr>
          <w:rFonts w:ascii="Titillium" w:hAnsi="Titillium"/>
          <w:iCs/>
          <w:sz w:val="18"/>
          <w:szCs w:val="18"/>
        </w:rPr>
        <w:t>determin</w:t>
      </w:r>
      <w:r w:rsidRPr="00FD309B">
        <w:rPr>
          <w:rFonts w:ascii="Titillium" w:hAnsi="Titillium"/>
          <w:iCs/>
          <w:sz w:val="18"/>
          <w:szCs w:val="18"/>
        </w:rPr>
        <w:t xml:space="preserve">a </w:t>
      </w:r>
      <w:r w:rsidRPr="00FD309B">
        <w:rPr>
          <w:rFonts w:ascii="Titillium" w:hAnsi="Titillium" w:cs="Calibri"/>
          <w:iCs/>
          <w:sz w:val="18"/>
          <w:szCs w:val="18"/>
        </w:rPr>
        <w:t xml:space="preserve">una variazione, in aumento o in diminuzione, del costo del servizio </w:t>
      </w:r>
      <w:r w:rsidRPr="00FD309B">
        <w:rPr>
          <w:rFonts w:ascii="Titillium" w:hAnsi="Titillium" w:cs="Calibri"/>
          <w:i/>
          <w:sz w:val="18"/>
          <w:szCs w:val="18"/>
        </w:rPr>
        <w:t>[o in alternativa dei beni]</w:t>
      </w:r>
      <w:r w:rsidRPr="00FD309B">
        <w:rPr>
          <w:rFonts w:ascii="Titillium" w:hAnsi="Titillium" w:cs="Calibri"/>
          <w:iCs/>
          <w:sz w:val="18"/>
          <w:szCs w:val="18"/>
        </w:rPr>
        <w:t xml:space="preserve"> superiore al cinque per cento, dell’importo complessivo, i prezzi sono aggiornati, nella misura dell’ottanta per cento della variazione, in relazione </w:t>
      </w:r>
      <w:r>
        <w:rPr>
          <w:rFonts w:ascii="Titillium" w:hAnsi="Titillium" w:cs="Calibri"/>
          <w:iCs/>
          <w:sz w:val="18"/>
          <w:szCs w:val="18"/>
        </w:rPr>
        <w:t>alle prestazioni da eseguire</w:t>
      </w:r>
      <w:r w:rsidRPr="00FD309B">
        <w:rPr>
          <w:rFonts w:ascii="Titillium" w:hAnsi="Titillium" w:cs="Calibri"/>
          <w:iCs/>
          <w:sz w:val="18"/>
          <w:szCs w:val="18"/>
        </w:rPr>
        <w:t xml:space="preserve">. Ai fini del calcolo della variazione dei prezzi si utilizza … </w:t>
      </w:r>
      <w:r>
        <w:rPr>
          <w:rFonts w:ascii="Titillium" w:hAnsi="Titillium" w:cs="Calibri"/>
          <w:i/>
          <w:sz w:val="18"/>
          <w:szCs w:val="18"/>
        </w:rPr>
        <w:t>[i</w:t>
      </w:r>
      <w:r w:rsidRPr="00527049">
        <w:rPr>
          <w:rFonts w:ascii="Titillium" w:hAnsi="Titillium" w:cs="Calibri"/>
          <w:i/>
          <w:sz w:val="18"/>
          <w:szCs w:val="18"/>
        </w:rPr>
        <w:t>ndicare quale indice o quale combinazione di indici tra quelli indicati all’articolo 60, comma 3, lettera b del Codic</w:t>
      </w:r>
      <w:r>
        <w:rPr>
          <w:rFonts w:ascii="Titillium" w:hAnsi="Titillium" w:cs="Calibri"/>
          <w:i/>
          <w:sz w:val="18"/>
          <w:szCs w:val="18"/>
        </w:rPr>
        <w:t>e]</w:t>
      </w:r>
      <w:r>
        <w:rPr>
          <w:rFonts w:ascii="Titillium" w:hAnsi="Titillium"/>
          <w:sz w:val="18"/>
          <w:szCs w:val="18"/>
        </w:rPr>
        <w:t>.</w:t>
      </w:r>
    </w:p>
    <w:p w14:paraId="2B86A8ED" w14:textId="77777777" w:rsidR="00276DF7" w:rsidRDefault="00276DF7" w:rsidP="00276DF7">
      <w:pPr>
        <w:shd w:val="clear" w:color="auto" w:fill="F2F2F2" w:themeFill="background1" w:themeFillShade="F2"/>
        <w:spacing w:before="120" w:after="60"/>
        <w:rPr>
          <w:rFonts w:ascii="Titillium" w:hAnsi="Titillium"/>
          <w:sz w:val="18"/>
          <w:szCs w:val="18"/>
        </w:rPr>
      </w:pPr>
    </w:p>
    <w:p w14:paraId="680B49E9" w14:textId="77777777" w:rsidR="00276DF7" w:rsidRPr="00FD309B" w:rsidRDefault="00276DF7" w:rsidP="00276DF7">
      <w:pPr>
        <w:pStyle w:val="Titolo3"/>
        <w:numPr>
          <w:ilvl w:val="1"/>
          <w:numId w:val="4"/>
        </w:numPr>
        <w:shd w:val="clear" w:color="auto" w:fill="F2F2F2" w:themeFill="background1" w:themeFillShade="F2"/>
        <w:spacing w:before="120"/>
        <w:ind w:left="426" w:hanging="426"/>
        <w:rPr>
          <w:rFonts w:ascii="Titillium" w:hAnsi="Titillium"/>
          <w:sz w:val="18"/>
          <w:szCs w:val="18"/>
          <w:lang w:val="it-IT"/>
        </w:rPr>
      </w:pPr>
      <w:bookmarkStart w:id="235" w:name="_Toc139549420"/>
      <w:r w:rsidRPr="001E2327">
        <w:rPr>
          <w:rFonts w:ascii="Titillium" w:hAnsi="Titillium"/>
          <w:sz w:val="18"/>
          <w:szCs w:val="18"/>
          <w:lang w:val="it-IT"/>
        </w:rPr>
        <w:t>MODIFICA DEL CONTRATTO IN FASE DI ESECUZIONE</w:t>
      </w:r>
      <w:bookmarkEnd w:id="235"/>
    </w:p>
    <w:p w14:paraId="141F6A3B" w14:textId="77777777" w:rsidR="00276DF7" w:rsidRPr="00E7138C" w:rsidRDefault="00276DF7" w:rsidP="00276DF7">
      <w:pPr>
        <w:shd w:val="clear" w:color="auto" w:fill="F2F2F2" w:themeFill="background1" w:themeFillShade="F2"/>
        <w:spacing w:before="60" w:after="60"/>
        <w:rPr>
          <w:rFonts w:ascii="Titillium" w:hAnsi="Titillium" w:cs="Calibri"/>
          <w:b/>
          <w:i/>
          <w:iCs/>
          <w:sz w:val="18"/>
          <w:szCs w:val="18"/>
        </w:rPr>
      </w:pPr>
      <w:r w:rsidRPr="00E7138C">
        <w:rPr>
          <w:rFonts w:ascii="Titillium" w:hAnsi="Titillium" w:cs="Calibri"/>
          <w:b/>
          <w:i/>
          <w:iCs/>
          <w:sz w:val="18"/>
          <w:szCs w:val="18"/>
        </w:rPr>
        <w:t xml:space="preserve">[In caso di suddivisione dell’appalto in più lotti specificare, per ciascuno di essi, le seguenti clausole] </w:t>
      </w:r>
    </w:p>
    <w:p w14:paraId="143B1335" w14:textId="77777777" w:rsidR="00276DF7" w:rsidRDefault="00276DF7" w:rsidP="00276DF7">
      <w:pPr>
        <w:shd w:val="clear" w:color="auto" w:fill="F2F2F2" w:themeFill="background1" w:themeFillShade="F2"/>
        <w:spacing w:before="120" w:after="60"/>
        <w:rPr>
          <w:rFonts w:ascii="Titillium" w:hAnsi="Titillium"/>
          <w:sz w:val="18"/>
          <w:szCs w:val="18"/>
        </w:rPr>
      </w:pPr>
      <w:r w:rsidRPr="002D04ED">
        <w:rPr>
          <w:rFonts w:ascii="Titillium" w:hAnsi="Titillium"/>
          <w:b/>
          <w:i/>
          <w:sz w:val="18"/>
          <w:szCs w:val="18"/>
        </w:rPr>
        <w:t>[Facoltativo</w:t>
      </w:r>
      <w:r>
        <w:rPr>
          <w:rFonts w:ascii="Titillium" w:hAnsi="Titillium"/>
          <w:b/>
          <w:i/>
          <w:sz w:val="18"/>
          <w:szCs w:val="18"/>
        </w:rPr>
        <w:t>]</w:t>
      </w:r>
      <w:r w:rsidRPr="002D04ED">
        <w:rPr>
          <w:rFonts w:ascii="Titillium" w:hAnsi="Titillium"/>
          <w:b/>
          <w:i/>
          <w:sz w:val="18"/>
          <w:szCs w:val="18"/>
        </w:rPr>
        <w:t xml:space="preserve"> </w:t>
      </w:r>
      <w:r w:rsidRPr="00E10448">
        <w:rPr>
          <w:rFonts w:ascii="Titillium" w:hAnsi="Titillium"/>
          <w:b/>
          <w:iCs/>
          <w:sz w:val="18"/>
          <w:szCs w:val="18"/>
        </w:rPr>
        <w:t>Opzione di proroga del contratto</w:t>
      </w:r>
      <w:r w:rsidRPr="00E10448">
        <w:rPr>
          <w:rFonts w:ascii="Titillium" w:hAnsi="Titillium"/>
          <w:bCs/>
          <w:iCs/>
          <w:sz w:val="18"/>
          <w:szCs w:val="18"/>
        </w:rPr>
        <w:t>: la stazione appaltante si riserva di prorogare</w:t>
      </w:r>
      <w:r>
        <w:rPr>
          <w:rFonts w:ascii="Titillium" w:hAnsi="Titillium"/>
          <w:b/>
          <w:iCs/>
          <w:sz w:val="18"/>
          <w:szCs w:val="18"/>
        </w:rPr>
        <w:t xml:space="preserve"> i</w:t>
      </w:r>
      <w:r w:rsidRPr="002D04ED">
        <w:rPr>
          <w:rFonts w:ascii="Titillium" w:hAnsi="Titillium"/>
          <w:iCs/>
          <w:sz w:val="18"/>
          <w:szCs w:val="18"/>
        </w:rPr>
        <w:t xml:space="preserve">l contratto per una durata </w:t>
      </w:r>
      <w:r w:rsidRPr="003E4EEF">
        <w:rPr>
          <w:rFonts w:ascii="Titillium" w:hAnsi="Titillium"/>
          <w:iCs/>
          <w:sz w:val="18"/>
          <w:szCs w:val="18"/>
        </w:rPr>
        <w:t>massima pari a</w:t>
      </w:r>
      <w:r w:rsidRPr="003E4EEF">
        <w:rPr>
          <w:rFonts w:ascii="Titillium" w:hAnsi="Titillium"/>
          <w:b/>
          <w:i/>
          <w:sz w:val="18"/>
          <w:szCs w:val="18"/>
        </w:rPr>
        <w:t xml:space="preserve"> </w:t>
      </w:r>
      <w:r w:rsidRPr="003E4EEF">
        <w:rPr>
          <w:rFonts w:ascii="Titillium" w:hAnsi="Titillium"/>
          <w:i/>
          <w:sz w:val="18"/>
          <w:szCs w:val="18"/>
        </w:rPr>
        <w:t xml:space="preserve">….. [indicare mesi,/giorni]  </w:t>
      </w:r>
      <w:r w:rsidRPr="003E4EEF">
        <w:rPr>
          <w:rFonts w:ascii="Titillium" w:hAnsi="Titillium"/>
          <w:sz w:val="18"/>
          <w:szCs w:val="18"/>
        </w:rPr>
        <w:t>ai prezzi, patti e condizioni stabiliti nel contratto</w:t>
      </w:r>
      <w:r w:rsidRPr="00AA00BF">
        <w:rPr>
          <w:rFonts w:ascii="Titillium" w:hAnsi="Titillium"/>
          <w:b/>
          <w:i/>
          <w:iCs/>
          <w:sz w:val="18"/>
          <w:szCs w:val="18"/>
        </w:rPr>
        <w:t xml:space="preserve"> [o, in alternativa] </w:t>
      </w:r>
      <w:r w:rsidRPr="003E4EEF">
        <w:rPr>
          <w:rFonts w:ascii="Titillium" w:hAnsi="Titillium"/>
          <w:sz w:val="18"/>
          <w:szCs w:val="18"/>
        </w:rPr>
        <w:t>alle condizioni</w:t>
      </w:r>
      <w:r w:rsidRPr="002D04ED">
        <w:rPr>
          <w:rFonts w:ascii="Titillium" w:hAnsi="Titillium"/>
          <w:sz w:val="18"/>
          <w:szCs w:val="18"/>
        </w:rPr>
        <w:t xml:space="preserve"> di mercato ove più favorevoli per la stazione appaltante</w:t>
      </w:r>
      <w:r w:rsidRPr="002D04ED">
        <w:rPr>
          <w:rFonts w:ascii="Titillium" w:hAnsi="Titillium"/>
          <w:b/>
          <w:bCs/>
          <w:iCs/>
          <w:sz w:val="18"/>
          <w:szCs w:val="18"/>
        </w:rPr>
        <w:t>.</w:t>
      </w:r>
      <w:r w:rsidRPr="002D04ED">
        <w:rPr>
          <w:rFonts w:ascii="Titillium" w:hAnsi="Titillium"/>
          <w:iCs/>
          <w:sz w:val="18"/>
          <w:szCs w:val="18"/>
        </w:rPr>
        <w:t xml:space="preserve"> L’importo</w:t>
      </w:r>
      <w:r w:rsidRPr="007B5239">
        <w:rPr>
          <w:rFonts w:ascii="Titillium" w:hAnsi="Titillium"/>
          <w:iCs/>
          <w:sz w:val="18"/>
          <w:szCs w:val="18"/>
        </w:rPr>
        <w:t xml:space="preserve"> stimato di tale opzione è pari a € … </w:t>
      </w:r>
      <w:r w:rsidRPr="007C7A52">
        <w:rPr>
          <w:rFonts w:ascii="Titillium" w:hAnsi="Titillium"/>
          <w:i/>
          <w:sz w:val="18"/>
          <w:szCs w:val="18"/>
        </w:rPr>
        <w:t xml:space="preserve">[indicare l’importo], </w:t>
      </w:r>
      <w:r w:rsidRPr="007B5239">
        <w:rPr>
          <w:rFonts w:ascii="Titillium" w:hAnsi="Titillium"/>
          <w:iCs/>
          <w:sz w:val="18"/>
          <w:szCs w:val="18"/>
        </w:rPr>
        <w:t>al netto di Iva. L’</w:t>
      </w:r>
      <w:r w:rsidRPr="007C7A52">
        <w:rPr>
          <w:rFonts w:ascii="Titillium" w:hAnsi="Titillium"/>
          <w:sz w:val="18"/>
          <w:szCs w:val="18"/>
        </w:rPr>
        <w:t>esercizio di tale facoltà è comunicato all’appaltatore almeno … [</w:t>
      </w:r>
      <w:r w:rsidRPr="00AC00A8">
        <w:rPr>
          <w:rFonts w:ascii="Titillium" w:hAnsi="Titillium"/>
          <w:i/>
          <w:sz w:val="18"/>
          <w:szCs w:val="18"/>
        </w:rPr>
        <w:t>indicare i giorni/mesi</w:t>
      </w:r>
      <w:r w:rsidRPr="007C7A52">
        <w:rPr>
          <w:rFonts w:ascii="Titillium" w:hAnsi="Titillium"/>
          <w:sz w:val="18"/>
          <w:szCs w:val="18"/>
        </w:rPr>
        <w:t>] prima della scadenza del contratto.</w:t>
      </w:r>
    </w:p>
    <w:p w14:paraId="395C8D74"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bCs/>
          <w:sz w:val="18"/>
          <w:szCs w:val="18"/>
        </w:rPr>
        <w:t>In casi eccezionali, i</w:t>
      </w:r>
      <w:r w:rsidRPr="00E10448">
        <w:rPr>
          <w:rFonts w:ascii="Titillium" w:hAnsi="Titillium"/>
          <w:bCs/>
          <w:sz w:val="18"/>
          <w:szCs w:val="18"/>
        </w:rPr>
        <w:t>l contratto in corso di esecuzione può</w:t>
      </w:r>
      <w:r>
        <w:rPr>
          <w:rFonts w:ascii="Titillium" w:hAnsi="Titillium"/>
          <w:bCs/>
          <w:sz w:val="18"/>
          <w:szCs w:val="18"/>
        </w:rPr>
        <w:t xml:space="preserve"> essere </w:t>
      </w:r>
      <w:r w:rsidRPr="00E10448">
        <w:rPr>
          <w:rFonts w:ascii="Titillium" w:hAnsi="Titillium"/>
          <w:bCs/>
          <w:sz w:val="18"/>
          <w:szCs w:val="18"/>
        </w:rPr>
        <w:t xml:space="preserve">prorogato per il tempo strettamente necessario alla conclusione della procedura di individuazione del </w:t>
      </w:r>
      <w:r w:rsidRPr="00E10448">
        <w:rPr>
          <w:rFonts w:ascii="Titillium" w:hAnsi="Titillium"/>
          <w:bCs/>
          <w:sz w:val="18"/>
          <w:szCs w:val="18"/>
        </w:rPr>
        <w:lastRenderedPageBreak/>
        <w:t xml:space="preserve">nuovo contraente se si verificano </w:t>
      </w:r>
      <w:r w:rsidRPr="00E10448">
        <w:rPr>
          <w:rFonts w:ascii="Titillium" w:hAnsi="Titillium"/>
          <w:sz w:val="18"/>
          <w:szCs w:val="18"/>
        </w:rPr>
        <w:t>le condizioni indicate all’art</w:t>
      </w:r>
      <w:r>
        <w:rPr>
          <w:rFonts w:ascii="Titillium" w:hAnsi="Titillium"/>
          <w:sz w:val="18"/>
          <w:szCs w:val="18"/>
        </w:rPr>
        <w:t>icolo</w:t>
      </w:r>
      <w:r w:rsidRPr="00E10448">
        <w:rPr>
          <w:rFonts w:ascii="Titillium" w:hAnsi="Titillium"/>
          <w:sz w:val="18"/>
          <w:szCs w:val="18"/>
        </w:rPr>
        <w:t xml:space="preserve"> 120</w:t>
      </w:r>
      <w:r>
        <w:rPr>
          <w:rFonts w:ascii="Titillium" w:hAnsi="Titillium"/>
          <w:sz w:val="18"/>
          <w:szCs w:val="18"/>
        </w:rPr>
        <w:t>,</w:t>
      </w:r>
      <w:r w:rsidRPr="00E10448">
        <w:rPr>
          <w:rFonts w:ascii="Titillium" w:hAnsi="Titillium"/>
          <w:sz w:val="18"/>
          <w:szCs w:val="18"/>
        </w:rPr>
        <w:t xml:space="preserve"> comma 11</w:t>
      </w:r>
      <w:r>
        <w:rPr>
          <w:rFonts w:ascii="Titillium" w:hAnsi="Titillium"/>
          <w:sz w:val="18"/>
          <w:szCs w:val="18"/>
        </w:rPr>
        <w:t>, del Codice.</w:t>
      </w:r>
      <w:r w:rsidRPr="00E10448">
        <w:rPr>
          <w:rFonts w:ascii="Titillium" w:hAnsi="Titillium"/>
          <w:b/>
          <w:bCs/>
          <w:i/>
          <w:sz w:val="18"/>
          <w:szCs w:val="18"/>
        </w:rPr>
        <w:t xml:space="preserve"> </w:t>
      </w:r>
      <w:r w:rsidRPr="00E10448">
        <w:rPr>
          <w:rFonts w:ascii="Titillium" w:hAnsi="Titillium"/>
          <w:sz w:val="18"/>
          <w:szCs w:val="18"/>
        </w:rPr>
        <w:t>In tal caso il contraente è tenuto all’esecuzione delle prestazioni oggetto del contratto agli stessi prezzi, patti e condizioni previsti nel contratto.</w:t>
      </w:r>
    </w:p>
    <w:p w14:paraId="2EAB73A2" w14:textId="77777777" w:rsidR="00276DF7" w:rsidRDefault="00276DF7" w:rsidP="00276DF7">
      <w:pPr>
        <w:shd w:val="clear" w:color="auto" w:fill="F2F2F2" w:themeFill="background1" w:themeFillShade="F2"/>
        <w:spacing w:before="60" w:after="60"/>
        <w:rPr>
          <w:rFonts w:ascii="Titillium" w:hAnsi="Titillium" w:cs="Calibri"/>
          <w:iCs/>
          <w:sz w:val="18"/>
          <w:szCs w:val="18"/>
        </w:rPr>
      </w:pPr>
      <w:bookmarkStart w:id="236" w:name="_Toc484688266"/>
      <w:bookmarkStart w:id="237" w:name="_Toc484605397"/>
      <w:bookmarkStart w:id="238" w:name="_Toc484605273"/>
      <w:bookmarkStart w:id="239" w:name="_Toc484526553"/>
      <w:bookmarkStart w:id="240" w:name="_Toc484449058"/>
      <w:bookmarkStart w:id="241" w:name="_Toc484448934"/>
      <w:bookmarkStart w:id="242" w:name="_Toc484448810"/>
      <w:bookmarkStart w:id="243" w:name="_Toc484448687"/>
      <w:bookmarkStart w:id="244" w:name="_Toc484448563"/>
      <w:bookmarkStart w:id="245" w:name="_Toc484448439"/>
      <w:bookmarkStart w:id="246" w:name="_Toc484448315"/>
      <w:bookmarkStart w:id="247" w:name="_Toc484448191"/>
      <w:bookmarkStart w:id="248" w:name="_Toc484448066"/>
      <w:bookmarkStart w:id="249" w:name="_Toc484440407"/>
      <w:bookmarkStart w:id="250" w:name="_Toc484440047"/>
      <w:bookmarkStart w:id="251" w:name="_Toc484439923"/>
      <w:bookmarkStart w:id="252" w:name="_Toc484439800"/>
      <w:bookmarkStart w:id="253" w:name="_Toc484438880"/>
      <w:bookmarkStart w:id="254" w:name="_Toc484438756"/>
      <w:bookmarkStart w:id="255" w:name="_Toc484438632"/>
      <w:bookmarkStart w:id="256" w:name="_Toc484429057"/>
      <w:bookmarkStart w:id="257" w:name="_Toc484428887"/>
      <w:bookmarkStart w:id="258" w:name="_Toc484097715"/>
      <w:bookmarkStart w:id="259" w:name="_Toc484011641"/>
      <w:bookmarkStart w:id="260" w:name="_Toc484011166"/>
      <w:bookmarkStart w:id="261" w:name="_Toc484011044"/>
      <w:bookmarkStart w:id="262" w:name="_Toc484010922"/>
      <w:bookmarkStart w:id="263" w:name="_Toc484010798"/>
      <w:bookmarkStart w:id="264" w:name="_Toc484010676"/>
      <w:bookmarkStart w:id="265" w:name="_Toc483906926"/>
      <w:bookmarkStart w:id="266" w:name="_Toc483571549"/>
      <w:bookmarkStart w:id="267" w:name="_Toc483571428"/>
      <w:bookmarkStart w:id="268" w:name="_Toc483473999"/>
      <w:bookmarkStart w:id="269" w:name="_Toc483401202"/>
      <w:bookmarkStart w:id="270" w:name="_Toc483325723"/>
      <w:bookmarkStart w:id="271" w:name="_Toc483316420"/>
      <w:bookmarkStart w:id="272" w:name="_Toc483316289"/>
      <w:bookmarkStart w:id="273" w:name="_Toc483316086"/>
      <w:bookmarkStart w:id="274" w:name="_Toc483315880"/>
      <w:bookmarkStart w:id="275" w:name="_Toc483302330"/>
      <w:bookmarkStart w:id="276" w:name="_Toc482098999"/>
      <w:bookmarkStart w:id="277" w:name="_Toc482097901"/>
      <w:bookmarkStart w:id="278" w:name="_Toc482097709"/>
      <w:bookmarkStart w:id="279" w:name="_Toc482097620"/>
      <w:bookmarkStart w:id="280" w:name="_Toc482097531"/>
      <w:bookmarkStart w:id="281" w:name="_Toc482025708"/>
      <w:bookmarkStart w:id="282" w:name="_Toc485218257"/>
      <w:bookmarkStart w:id="283" w:name="_Toc48468882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Fonts w:ascii="Titillium" w:hAnsi="Titillium"/>
          <w:b/>
          <w:bCs/>
          <w:i/>
          <w:sz w:val="18"/>
          <w:szCs w:val="18"/>
        </w:rPr>
        <w:t>[</w:t>
      </w:r>
      <w:r>
        <w:rPr>
          <w:rFonts w:ascii="Titillium" w:hAnsi="Titillium"/>
          <w:b/>
          <w:i/>
          <w:sz w:val="18"/>
          <w:szCs w:val="18"/>
        </w:rPr>
        <w:t>Facoltativo]</w:t>
      </w:r>
      <w:r>
        <w:rPr>
          <w:rFonts w:ascii="Titillium" w:hAnsi="Titillium"/>
          <w:i/>
          <w:sz w:val="18"/>
          <w:szCs w:val="18"/>
        </w:rPr>
        <w:t xml:space="preserve"> </w:t>
      </w:r>
      <w:r w:rsidRPr="00E10448">
        <w:rPr>
          <w:rFonts w:ascii="Titillium" w:hAnsi="Titillium"/>
          <w:b/>
          <w:bCs/>
          <w:iCs/>
          <w:sz w:val="18"/>
          <w:szCs w:val="18"/>
        </w:rPr>
        <w:t>Affidamento di servizi analoghi</w:t>
      </w:r>
      <w:r w:rsidRPr="00E10448">
        <w:rPr>
          <w:rFonts w:ascii="Titillium" w:hAnsi="Titillium" w:cs="Calibri"/>
          <w:b/>
          <w:bCs/>
          <w:iCs/>
          <w:sz w:val="18"/>
          <w:szCs w:val="18"/>
        </w:rPr>
        <w:t xml:space="preserve"> di cui all’articolo 76, comma</w:t>
      </w:r>
      <w:r w:rsidRPr="00E10448">
        <w:rPr>
          <w:rFonts w:ascii="Titillium" w:hAnsi="Titillium" w:cs="Calibri"/>
          <w:b/>
          <w:iCs/>
          <w:sz w:val="18"/>
          <w:szCs w:val="18"/>
        </w:rPr>
        <w:t xml:space="preserve"> 6, del Codice</w:t>
      </w:r>
      <w:r>
        <w:rPr>
          <w:rFonts w:ascii="Titillium" w:hAnsi="Titillium" w:cs="Calibri"/>
          <w:b/>
          <w:iCs/>
          <w:sz w:val="18"/>
          <w:szCs w:val="18"/>
        </w:rPr>
        <w:t>:</w:t>
      </w:r>
      <w:r>
        <w:rPr>
          <w:rFonts w:ascii="Titillium" w:hAnsi="Titillium" w:cs="Calibri"/>
          <w:iCs/>
          <w:sz w:val="18"/>
          <w:szCs w:val="18"/>
        </w:rPr>
        <w:t xml:space="preserve"> entro … </w:t>
      </w:r>
      <w:r w:rsidRPr="00C57FE1">
        <w:rPr>
          <w:rFonts w:ascii="Titillium" w:hAnsi="Titillium" w:cs="Calibri"/>
          <w:i/>
          <w:iCs/>
          <w:sz w:val="18"/>
          <w:szCs w:val="18"/>
        </w:rPr>
        <w:t>[indicare il termine, che comunque non può superare il triennio successivo alla stipula del contratto originale]</w:t>
      </w:r>
      <w:r>
        <w:rPr>
          <w:rFonts w:ascii="Titillium" w:hAnsi="Titillium" w:cs="Calibri"/>
          <w:iCs/>
          <w:sz w:val="18"/>
          <w:szCs w:val="18"/>
        </w:rPr>
        <w:t xml:space="preserve">, la stazione appaltante si riserva la facoltà di affidare all’aggiudicatario nuovi servizi consistenti nella ripetizione dei seguenti servizi: … </w:t>
      </w:r>
      <w:r w:rsidRPr="00484FCC">
        <w:rPr>
          <w:rFonts w:ascii="Titillium" w:hAnsi="Titillium" w:cs="Calibri"/>
          <w:i/>
          <w:iCs/>
          <w:sz w:val="18"/>
          <w:szCs w:val="18"/>
        </w:rPr>
        <w:t>[precisare le prestazioni oggetto dell’eventuale affidamento</w:t>
      </w:r>
      <w:r>
        <w:rPr>
          <w:rFonts w:ascii="Titillium" w:hAnsi="Titillium" w:cs="Calibri"/>
          <w:i/>
          <w:iCs/>
          <w:sz w:val="18"/>
          <w:szCs w:val="18"/>
        </w:rPr>
        <w:t xml:space="preserve"> e la relativa durata</w:t>
      </w:r>
      <w:r w:rsidRPr="00484FCC">
        <w:rPr>
          <w:rFonts w:ascii="Titillium" w:hAnsi="Titillium" w:cs="Calibri"/>
          <w:i/>
          <w:iCs/>
          <w:sz w:val="18"/>
          <w:szCs w:val="18"/>
        </w:rPr>
        <w:t>]</w:t>
      </w:r>
      <w:r>
        <w:rPr>
          <w:rFonts w:ascii="Titillium" w:hAnsi="Titillium" w:cs="Calibri"/>
          <w:iCs/>
          <w:sz w:val="18"/>
          <w:szCs w:val="18"/>
        </w:rPr>
        <w:t xml:space="preserve">, per un importo stimato complessivamente non superiore ad € … </w:t>
      </w:r>
      <w:r>
        <w:rPr>
          <w:rFonts w:ascii="Titillium" w:hAnsi="Titillium"/>
          <w:sz w:val="18"/>
          <w:szCs w:val="18"/>
        </w:rPr>
        <w:t xml:space="preserve"> </w:t>
      </w:r>
      <w:r w:rsidRPr="00484FCC">
        <w:rPr>
          <w:rFonts w:ascii="Titillium" w:hAnsi="Titillium" w:cs="Calibri"/>
          <w:i/>
          <w:iCs/>
          <w:sz w:val="18"/>
          <w:szCs w:val="18"/>
        </w:rPr>
        <w:t>[indicare l’importo</w:t>
      </w:r>
      <w:r>
        <w:rPr>
          <w:rFonts w:ascii="Titillium" w:hAnsi="Titillium" w:cs="Calibri"/>
          <w:iCs/>
          <w:sz w:val="18"/>
          <w:szCs w:val="18"/>
        </w:rPr>
        <w:t xml:space="preserve">], </w:t>
      </w:r>
      <w:r>
        <w:rPr>
          <w:rFonts w:ascii="Titillium" w:hAnsi="Titillium" w:cs="Calibri"/>
          <w:sz w:val="18"/>
          <w:szCs w:val="18"/>
        </w:rPr>
        <w:t xml:space="preserve">al netto di Iva </w:t>
      </w:r>
    </w:p>
    <w:p w14:paraId="027FD530" w14:textId="77777777" w:rsidR="00276DF7" w:rsidRPr="00E41EDE" w:rsidRDefault="00276DF7" w:rsidP="00276DF7">
      <w:pPr>
        <w:shd w:val="clear" w:color="auto" w:fill="F2F2F2" w:themeFill="background1" w:themeFillShade="F2"/>
        <w:spacing w:before="60" w:after="60"/>
        <w:rPr>
          <w:rFonts w:ascii="Titillium" w:hAnsi="Titillium"/>
          <w:bCs/>
          <w:iCs/>
          <w:sz w:val="18"/>
          <w:szCs w:val="18"/>
        </w:rPr>
      </w:pPr>
      <w:r w:rsidRPr="00871272">
        <w:rPr>
          <w:rFonts w:ascii="Titillium" w:hAnsi="Titillium"/>
          <w:b/>
          <w:i/>
          <w:sz w:val="18"/>
          <w:szCs w:val="18"/>
        </w:rPr>
        <w:t xml:space="preserve">[Facoltativo] </w:t>
      </w:r>
      <w:r w:rsidRPr="00871272">
        <w:rPr>
          <w:rFonts w:ascii="Titillium" w:hAnsi="Titillium"/>
          <w:b/>
          <w:iCs/>
          <w:sz w:val="18"/>
          <w:szCs w:val="18"/>
        </w:rPr>
        <w:t xml:space="preserve">Variazione fino a concorrenza del quinto dell’importo del contratto: </w:t>
      </w:r>
      <w:r w:rsidRPr="00871272">
        <w:rPr>
          <w:rFonts w:ascii="Titillium" w:hAnsi="Titillium"/>
          <w:bCs/>
          <w:iCs/>
          <w:sz w:val="18"/>
          <w:szCs w:val="18"/>
        </w:rPr>
        <w:t>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r w:rsidRPr="00E41EDE">
        <w:rPr>
          <w:rFonts w:ascii="Titillium" w:hAnsi="Titillium"/>
          <w:bCs/>
          <w:iCs/>
          <w:sz w:val="18"/>
          <w:szCs w:val="18"/>
        </w:rPr>
        <w:t xml:space="preserve"> </w:t>
      </w:r>
    </w:p>
    <w:p w14:paraId="7D2242EA" w14:textId="77777777" w:rsidR="00276DF7" w:rsidRPr="003E4EEF" w:rsidRDefault="00276DF7" w:rsidP="00276DF7">
      <w:pPr>
        <w:shd w:val="clear" w:color="auto" w:fill="F2F2F2" w:themeFill="background1" w:themeFillShade="F2"/>
        <w:spacing w:before="60" w:after="60"/>
        <w:rPr>
          <w:rFonts w:ascii="Titillium" w:hAnsi="Titillium" w:cs="Calibri"/>
          <w:i/>
          <w:iCs/>
          <w:sz w:val="18"/>
          <w:szCs w:val="18"/>
        </w:rPr>
      </w:pPr>
      <w:r>
        <w:rPr>
          <w:rFonts w:ascii="Titillium" w:hAnsi="Titillium" w:cs="Calibri"/>
          <w:b/>
          <w:bCs/>
          <w:i/>
          <w:iCs/>
          <w:sz w:val="18"/>
          <w:szCs w:val="18"/>
        </w:rPr>
        <w:t>[</w:t>
      </w:r>
      <w:r>
        <w:rPr>
          <w:rFonts w:ascii="Titillium" w:hAnsi="Titillium"/>
          <w:b/>
          <w:bCs/>
          <w:i/>
          <w:sz w:val="18"/>
          <w:szCs w:val="18"/>
        </w:rPr>
        <w:t xml:space="preserve">Facoltativo] </w:t>
      </w:r>
      <w:r w:rsidRPr="00944586">
        <w:rPr>
          <w:rFonts w:ascii="Titillium" w:hAnsi="Titillium"/>
          <w:b/>
          <w:bCs/>
          <w:iCs/>
          <w:sz w:val="18"/>
          <w:szCs w:val="18"/>
        </w:rPr>
        <w:t>M</w:t>
      </w:r>
      <w:r w:rsidRPr="00944586">
        <w:rPr>
          <w:rFonts w:ascii="Titillium" w:hAnsi="Titillium" w:cs="Calibri"/>
          <w:b/>
          <w:bCs/>
          <w:iCs/>
          <w:sz w:val="18"/>
          <w:szCs w:val="18"/>
        </w:rPr>
        <w:t>odifiche del contratto ai sensi dell’articolo 120</w:t>
      </w:r>
      <w:r>
        <w:rPr>
          <w:rFonts w:ascii="Titillium" w:hAnsi="Titillium" w:cs="Calibri"/>
          <w:b/>
          <w:bCs/>
          <w:iCs/>
          <w:sz w:val="18"/>
          <w:szCs w:val="18"/>
        </w:rPr>
        <w:t>,</w:t>
      </w:r>
      <w:r w:rsidRPr="00944586">
        <w:rPr>
          <w:rFonts w:ascii="Titillium" w:hAnsi="Titillium" w:cs="Calibri"/>
          <w:b/>
          <w:bCs/>
          <w:iCs/>
          <w:sz w:val="18"/>
          <w:szCs w:val="18"/>
        </w:rPr>
        <w:t xml:space="preserve"> comma 1</w:t>
      </w:r>
      <w:r>
        <w:rPr>
          <w:rFonts w:ascii="Titillium" w:hAnsi="Titillium" w:cs="Calibri"/>
          <w:b/>
          <w:bCs/>
          <w:iCs/>
          <w:sz w:val="18"/>
          <w:szCs w:val="18"/>
        </w:rPr>
        <w:t>,</w:t>
      </w:r>
      <w:r w:rsidRPr="00944586">
        <w:rPr>
          <w:rFonts w:ascii="Titillium" w:hAnsi="Titillium" w:cs="Calibri"/>
          <w:b/>
          <w:bCs/>
          <w:iCs/>
          <w:sz w:val="18"/>
          <w:szCs w:val="18"/>
        </w:rPr>
        <w:t xml:space="preserve"> lettera a) del Codic</w:t>
      </w:r>
      <w:r>
        <w:rPr>
          <w:rFonts w:ascii="Titillium" w:hAnsi="Titillium" w:cs="Calibri"/>
          <w:b/>
          <w:bCs/>
          <w:iCs/>
          <w:sz w:val="18"/>
          <w:szCs w:val="18"/>
        </w:rPr>
        <w:t xml:space="preserve">e: </w:t>
      </w:r>
      <w:r w:rsidRPr="00944586">
        <w:rPr>
          <w:rFonts w:ascii="Titillium" w:hAnsi="Titillium" w:cs="Calibri"/>
          <w:iCs/>
          <w:sz w:val="18"/>
          <w:szCs w:val="18"/>
        </w:rPr>
        <w:t>la stazione appaltante si riserva di modificare</w:t>
      </w:r>
      <w:r>
        <w:rPr>
          <w:rFonts w:ascii="Titillium" w:hAnsi="Titillium" w:cs="Calibri"/>
          <w:b/>
          <w:bCs/>
          <w:iCs/>
          <w:sz w:val="18"/>
          <w:szCs w:val="18"/>
        </w:rPr>
        <w:t xml:space="preserve"> i</w:t>
      </w:r>
      <w:r>
        <w:rPr>
          <w:rFonts w:ascii="Titillium" w:hAnsi="Titillium" w:cs="Calibri"/>
          <w:iCs/>
          <w:sz w:val="18"/>
          <w:szCs w:val="18"/>
        </w:rPr>
        <w:t xml:space="preserve">l contratto in corso di esecuzione, nei seguenti casi: … </w:t>
      </w:r>
      <w:r w:rsidRPr="00AA00BF">
        <w:rPr>
          <w:rFonts w:ascii="Titillium" w:hAnsi="Titillium" w:cs="Calibri"/>
          <w:i/>
          <w:sz w:val="18"/>
          <w:szCs w:val="18"/>
        </w:rPr>
        <w:t>[indicare</w:t>
      </w:r>
      <w:r>
        <w:rPr>
          <w:rFonts w:ascii="Titillium" w:hAnsi="Titillium" w:cs="Calibri"/>
          <w:i/>
          <w:iCs/>
          <w:sz w:val="18"/>
          <w:szCs w:val="18"/>
        </w:rPr>
        <w:t xml:space="preserve"> </w:t>
      </w:r>
      <w:bookmarkStart w:id="284" w:name="_Hlk127471187"/>
      <w:r>
        <w:rPr>
          <w:rFonts w:ascii="Titillium" w:hAnsi="Titillium" w:cs="Calibri"/>
          <w:i/>
          <w:iCs/>
          <w:sz w:val="18"/>
          <w:szCs w:val="18"/>
        </w:rPr>
        <w:t>in modo chiaro, preciso ed inequivocabile</w:t>
      </w:r>
      <w:bookmarkEnd w:id="284"/>
      <w:r>
        <w:rPr>
          <w:rFonts w:ascii="Titillium" w:hAnsi="Titillium" w:cs="Calibri"/>
          <w:i/>
          <w:iCs/>
          <w:sz w:val="18"/>
          <w:szCs w:val="18"/>
        </w:rPr>
        <w:t xml:space="preserve">, la portata e la natura delle modifiche contrattuali, nonché le condizioni alle quali esse possono essere </w:t>
      </w:r>
      <w:r w:rsidRPr="003E4EEF">
        <w:rPr>
          <w:rFonts w:ascii="Titillium" w:hAnsi="Titillium" w:cs="Calibri"/>
          <w:i/>
          <w:iCs/>
          <w:sz w:val="18"/>
          <w:szCs w:val="18"/>
        </w:rPr>
        <w:t>effettuate</w:t>
      </w:r>
      <w:r>
        <w:rPr>
          <w:rFonts w:ascii="Titillium" w:hAnsi="Titillium" w:cs="Calibri"/>
          <w:i/>
          <w:iCs/>
          <w:sz w:val="18"/>
          <w:szCs w:val="18"/>
        </w:rPr>
        <w:t>]</w:t>
      </w:r>
      <w:r w:rsidRPr="003E4EEF">
        <w:rPr>
          <w:rFonts w:ascii="Titillium" w:hAnsi="Titillium" w:cs="Calibri"/>
          <w:i/>
          <w:iCs/>
          <w:sz w:val="18"/>
          <w:szCs w:val="18"/>
        </w:rPr>
        <w:t xml:space="preserve">. </w:t>
      </w:r>
    </w:p>
    <w:p w14:paraId="266DF8DB" w14:textId="77777777" w:rsidR="00276DF7" w:rsidRPr="003E4EEF" w:rsidRDefault="00276DF7" w:rsidP="00276DF7">
      <w:pPr>
        <w:shd w:val="clear" w:color="auto" w:fill="F2F2F2" w:themeFill="background1" w:themeFillShade="F2"/>
        <w:spacing w:before="60" w:after="60"/>
        <w:rPr>
          <w:rFonts w:ascii="Titillium" w:hAnsi="Titillium" w:cs="Calibri"/>
          <w:i/>
          <w:iCs/>
          <w:sz w:val="18"/>
          <w:szCs w:val="18"/>
        </w:rPr>
      </w:pPr>
      <w:r w:rsidRPr="003E4EEF">
        <w:rPr>
          <w:rFonts w:ascii="Titillium" w:hAnsi="Titillium" w:cs="Calibri"/>
          <w:b/>
          <w:bCs/>
          <w:i/>
          <w:iCs/>
          <w:sz w:val="18"/>
          <w:szCs w:val="18"/>
        </w:rPr>
        <w:t>[Facoltativo]</w:t>
      </w:r>
      <w:r w:rsidRPr="003E4EEF">
        <w:rPr>
          <w:rFonts w:ascii="Titillium" w:hAnsi="Titillium" w:cs="Calibri"/>
          <w:i/>
          <w:iCs/>
          <w:sz w:val="18"/>
          <w:szCs w:val="18"/>
        </w:rPr>
        <w:t xml:space="preserve"> </w:t>
      </w:r>
      <w:r w:rsidRPr="003E4EEF">
        <w:rPr>
          <w:rFonts w:ascii="Titillium" w:hAnsi="Titillium" w:cs="Calibri"/>
          <w:b/>
          <w:bCs/>
          <w:sz w:val="18"/>
          <w:szCs w:val="18"/>
        </w:rPr>
        <w:t>Clausola di rinegoziazione</w:t>
      </w:r>
      <w:r w:rsidRPr="003E4EEF">
        <w:rPr>
          <w:rFonts w:ascii="Titillium" w:hAnsi="Titillium" w:cs="Calibri"/>
          <w:sz w:val="18"/>
          <w:szCs w:val="18"/>
        </w:rPr>
        <w:t xml:space="preserve">: …. </w:t>
      </w:r>
      <w:r w:rsidRPr="003E4EEF">
        <w:rPr>
          <w:rFonts w:ascii="Titillium" w:hAnsi="Titillium" w:cs="Calibri"/>
          <w:i/>
          <w:iCs/>
          <w:sz w:val="18"/>
          <w:szCs w:val="18"/>
        </w:rPr>
        <w:t>[ai sensi dell’art</w:t>
      </w:r>
      <w:r>
        <w:rPr>
          <w:rFonts w:ascii="Titillium" w:hAnsi="Titillium" w:cs="Calibri"/>
          <w:i/>
          <w:iCs/>
          <w:sz w:val="18"/>
          <w:szCs w:val="18"/>
        </w:rPr>
        <w:t>icolo</w:t>
      </w:r>
      <w:r w:rsidRPr="003E4EEF">
        <w:rPr>
          <w:rFonts w:ascii="Titillium" w:hAnsi="Titillium" w:cs="Calibri"/>
          <w:i/>
          <w:iCs/>
          <w:sz w:val="18"/>
          <w:szCs w:val="18"/>
        </w:rPr>
        <w:t xml:space="preserve"> 9 del Codice, la stazione appaltante può prevedere clausole di rinegoziazione, specie quando il contratto risulta particolarmente esposto per la sua durata, per il contesto economico di riferimento o per altre circostanze, al rischio delle interferenze da sopravvenienze]</w:t>
      </w:r>
    </w:p>
    <w:p w14:paraId="63F0BF0D" w14:textId="77777777" w:rsidR="00276DF7" w:rsidRDefault="00276DF7" w:rsidP="00276DF7">
      <w:pPr>
        <w:shd w:val="clear" w:color="auto" w:fill="F2F2F2" w:themeFill="background1" w:themeFillShade="F2"/>
        <w:spacing w:before="60" w:after="60"/>
        <w:rPr>
          <w:rFonts w:ascii="Titillium" w:hAnsi="Titillium" w:cs="Calibri"/>
          <w:i/>
          <w:iCs/>
          <w:sz w:val="18"/>
          <w:szCs w:val="18"/>
        </w:rPr>
      </w:pPr>
      <w:r>
        <w:rPr>
          <w:rFonts w:ascii="Titillium" w:hAnsi="Titillium" w:cs="Calibri"/>
          <w:b/>
          <w:bCs/>
          <w:i/>
          <w:iCs/>
          <w:sz w:val="18"/>
          <w:szCs w:val="18"/>
        </w:rPr>
        <w:t>[</w:t>
      </w:r>
      <w:r>
        <w:rPr>
          <w:rFonts w:ascii="Titillium" w:hAnsi="Titillium"/>
          <w:b/>
          <w:bCs/>
          <w:i/>
          <w:sz w:val="18"/>
          <w:szCs w:val="18"/>
        </w:rPr>
        <w:t xml:space="preserve">Facoltativo] </w:t>
      </w:r>
      <w:r w:rsidRPr="00944586">
        <w:rPr>
          <w:rFonts w:ascii="Titillium" w:hAnsi="Titillium"/>
          <w:b/>
          <w:bCs/>
          <w:iCs/>
          <w:sz w:val="18"/>
          <w:szCs w:val="18"/>
        </w:rPr>
        <w:t>M</w:t>
      </w:r>
      <w:r w:rsidRPr="00944586">
        <w:rPr>
          <w:rFonts w:ascii="Titillium" w:hAnsi="Titillium" w:cs="Calibri"/>
          <w:b/>
          <w:bCs/>
          <w:iCs/>
          <w:sz w:val="18"/>
          <w:szCs w:val="18"/>
        </w:rPr>
        <w:t>odifiche del contratto ai sensi dell’articolo 120</w:t>
      </w:r>
      <w:r>
        <w:rPr>
          <w:rFonts w:ascii="Titillium" w:hAnsi="Titillium" w:cs="Calibri"/>
          <w:b/>
          <w:bCs/>
          <w:iCs/>
          <w:sz w:val="18"/>
          <w:szCs w:val="18"/>
        </w:rPr>
        <w:t>,</w:t>
      </w:r>
      <w:r w:rsidRPr="00944586">
        <w:rPr>
          <w:rFonts w:ascii="Titillium" w:hAnsi="Titillium" w:cs="Calibri"/>
          <w:b/>
          <w:bCs/>
          <w:iCs/>
          <w:sz w:val="18"/>
          <w:szCs w:val="18"/>
        </w:rPr>
        <w:t xml:space="preserve"> comma 1</w:t>
      </w:r>
      <w:r>
        <w:rPr>
          <w:rFonts w:ascii="Titillium" w:hAnsi="Titillium" w:cs="Calibri"/>
          <w:b/>
          <w:bCs/>
          <w:iCs/>
          <w:sz w:val="18"/>
          <w:szCs w:val="18"/>
        </w:rPr>
        <w:t>,</w:t>
      </w:r>
      <w:r w:rsidRPr="00944586">
        <w:rPr>
          <w:rFonts w:ascii="Titillium" w:hAnsi="Titillium" w:cs="Calibri"/>
          <w:b/>
          <w:bCs/>
          <w:iCs/>
          <w:sz w:val="18"/>
          <w:szCs w:val="18"/>
        </w:rPr>
        <w:t xml:space="preserve"> lettera </w:t>
      </w:r>
      <w:r>
        <w:rPr>
          <w:rFonts w:ascii="Titillium" w:hAnsi="Titillium" w:cs="Calibri"/>
          <w:b/>
          <w:bCs/>
          <w:iCs/>
          <w:sz w:val="18"/>
          <w:szCs w:val="18"/>
        </w:rPr>
        <w:t>d</w:t>
      </w:r>
      <w:r w:rsidRPr="00944586">
        <w:rPr>
          <w:rFonts w:ascii="Titillium" w:hAnsi="Titillium" w:cs="Calibri"/>
          <w:b/>
          <w:bCs/>
          <w:iCs/>
          <w:sz w:val="18"/>
          <w:szCs w:val="18"/>
        </w:rPr>
        <w:t>) del Codic</w:t>
      </w:r>
      <w:r>
        <w:rPr>
          <w:rFonts w:ascii="Titillium" w:hAnsi="Titillium" w:cs="Calibri"/>
          <w:b/>
          <w:bCs/>
          <w:iCs/>
          <w:sz w:val="18"/>
          <w:szCs w:val="18"/>
        </w:rPr>
        <w:t xml:space="preserve">e: </w:t>
      </w:r>
      <w:r w:rsidRPr="00944586">
        <w:rPr>
          <w:rFonts w:ascii="Titillium" w:hAnsi="Titillium" w:cs="Calibri"/>
          <w:iCs/>
          <w:sz w:val="18"/>
          <w:szCs w:val="18"/>
        </w:rPr>
        <w:t>la stazione appaltante si riserva</w:t>
      </w:r>
      <w:r>
        <w:rPr>
          <w:rFonts w:ascii="Titillium" w:hAnsi="Titillium" w:cs="Calibri"/>
          <w:iCs/>
          <w:sz w:val="18"/>
          <w:szCs w:val="18"/>
        </w:rPr>
        <w:t>, in corso di esecuzione,</w:t>
      </w:r>
      <w:r w:rsidRPr="00944586">
        <w:rPr>
          <w:rFonts w:ascii="Titillium" w:hAnsi="Titillium" w:cs="Calibri"/>
          <w:iCs/>
          <w:sz w:val="18"/>
          <w:szCs w:val="18"/>
        </w:rPr>
        <w:t xml:space="preserve"> di </w:t>
      </w:r>
      <w:r>
        <w:rPr>
          <w:rFonts w:ascii="Titillium" w:hAnsi="Titillium" w:cs="Calibri"/>
          <w:iCs/>
          <w:sz w:val="18"/>
          <w:szCs w:val="18"/>
        </w:rPr>
        <w:t>sostituire l’aggiudicatario iniziale con un nuovo contraente nei seguenti casi: …</w:t>
      </w:r>
      <w:r w:rsidRPr="00AA00BF">
        <w:rPr>
          <w:rFonts w:ascii="Titillium" w:hAnsi="Titillium" w:cs="Calibri"/>
          <w:i/>
          <w:sz w:val="18"/>
          <w:szCs w:val="18"/>
        </w:rPr>
        <w:t xml:space="preserve"> [</w:t>
      </w:r>
      <w:r>
        <w:rPr>
          <w:rFonts w:ascii="Titillium" w:hAnsi="Titillium" w:cs="Calibri"/>
          <w:i/>
          <w:iCs/>
          <w:sz w:val="18"/>
          <w:szCs w:val="18"/>
        </w:rPr>
        <w:t xml:space="preserve">indicare in modo chiaro, preciso ed inequivocabile, </w:t>
      </w:r>
      <w:r w:rsidRPr="0033662A">
        <w:rPr>
          <w:rFonts w:ascii="Titillium" w:hAnsi="Titillium" w:cs="Calibri"/>
          <w:i/>
          <w:iCs/>
          <w:sz w:val="18"/>
          <w:szCs w:val="18"/>
        </w:rPr>
        <w:t>le relative circostanze</w:t>
      </w:r>
      <w:r>
        <w:rPr>
          <w:rFonts w:ascii="Titillium" w:hAnsi="Titillium" w:cs="Calibri"/>
          <w:i/>
          <w:iCs/>
          <w:sz w:val="18"/>
          <w:szCs w:val="18"/>
        </w:rPr>
        <w:t>].</w:t>
      </w:r>
    </w:p>
    <w:p w14:paraId="25DE393B" w14:textId="77777777" w:rsidR="00276DF7" w:rsidRDefault="00276DF7" w:rsidP="00276DF7">
      <w:pPr>
        <w:shd w:val="clear" w:color="auto" w:fill="F2F2F2" w:themeFill="background1" w:themeFillShade="F2"/>
        <w:spacing w:before="60" w:after="60"/>
        <w:rPr>
          <w:rFonts w:ascii="Titillium" w:hAnsi="Titillium"/>
          <w:b/>
          <w:bCs/>
          <w:i/>
          <w:sz w:val="18"/>
          <w:szCs w:val="18"/>
        </w:rPr>
      </w:pPr>
    </w:p>
    <w:p w14:paraId="5946484D" w14:textId="77777777" w:rsidR="00276DF7" w:rsidRPr="00BF470E" w:rsidRDefault="00276DF7" w:rsidP="00276DF7">
      <w:pPr>
        <w:shd w:val="clear" w:color="auto" w:fill="F2F2F2" w:themeFill="background1" w:themeFillShade="F2"/>
        <w:spacing w:before="60" w:after="60"/>
        <w:rPr>
          <w:i/>
        </w:rPr>
      </w:pPr>
      <w:r>
        <w:rPr>
          <w:rFonts w:ascii="Titillium" w:hAnsi="Titillium"/>
          <w:b/>
          <w:bCs/>
          <w:i/>
          <w:sz w:val="18"/>
          <w:szCs w:val="18"/>
        </w:rPr>
        <w:t>[In caso di inserimento di una o più delle suddette clausole facoltative.</w:t>
      </w:r>
      <w:r w:rsidRPr="007814A7">
        <w:rPr>
          <w:rFonts w:ascii="Titillium" w:hAnsi="Titillium"/>
          <w:b/>
          <w:bCs/>
          <w:i/>
          <w:sz w:val="18"/>
          <w:szCs w:val="18"/>
        </w:rPr>
        <w:t>]</w:t>
      </w:r>
      <w:r>
        <w:rPr>
          <w:rFonts w:ascii="Titillium" w:hAnsi="Titillium"/>
          <w:b/>
          <w:bCs/>
          <w:sz w:val="18"/>
          <w:szCs w:val="18"/>
        </w:rPr>
        <w:t xml:space="preserve"> </w:t>
      </w:r>
      <w:r>
        <w:rPr>
          <w:rFonts w:ascii="Titillium" w:hAnsi="Titillium"/>
          <w:sz w:val="18"/>
          <w:szCs w:val="18"/>
        </w:rPr>
        <w:t xml:space="preserve">Il </w:t>
      </w:r>
      <w:r w:rsidRPr="007814A7">
        <w:rPr>
          <w:rFonts w:ascii="Titillium" w:hAnsi="Titillium"/>
          <w:b/>
          <w:bCs/>
          <w:sz w:val="18"/>
          <w:szCs w:val="18"/>
        </w:rPr>
        <w:t>valore globale stimato</w:t>
      </w:r>
      <w:r>
        <w:rPr>
          <w:rFonts w:ascii="Titillium" w:hAnsi="Titillium"/>
          <w:sz w:val="18"/>
          <w:szCs w:val="18"/>
        </w:rPr>
        <w:t xml:space="preserve"> dell’appalto è pari ad € </w:t>
      </w:r>
      <w:r w:rsidRPr="00BF470E">
        <w:rPr>
          <w:rFonts w:ascii="Titillium" w:hAnsi="Titillium"/>
          <w:i/>
          <w:sz w:val="18"/>
          <w:szCs w:val="18"/>
        </w:rPr>
        <w:t xml:space="preserve">... </w:t>
      </w:r>
      <w:r w:rsidRPr="00BF470E">
        <w:rPr>
          <w:rFonts w:ascii="Titillium" w:hAnsi="Titillium" w:cs="Calibri"/>
          <w:i/>
          <w:sz w:val="18"/>
          <w:szCs w:val="18"/>
        </w:rPr>
        <w:t>[indicare il valore, in caso di più lotti indicare la somma di tutti i lotti],</w:t>
      </w:r>
      <w:r>
        <w:rPr>
          <w:rFonts w:ascii="Titillium" w:hAnsi="Titillium" w:cs="Calibri"/>
          <w:sz w:val="18"/>
          <w:szCs w:val="18"/>
        </w:rPr>
        <w:t xml:space="preserve"> al netto di Iva </w:t>
      </w:r>
      <w:r w:rsidRPr="00BF470E">
        <w:rPr>
          <w:rFonts w:ascii="Titillium" w:hAnsi="Titillium" w:cs="Calibri"/>
          <w:i/>
          <w:sz w:val="18"/>
          <w:szCs w:val="18"/>
        </w:rPr>
        <w:t>[così suddiviso. In caso di più lotti riportare una tabella per ciascun lotto]:</w:t>
      </w:r>
    </w:p>
    <w:p w14:paraId="785090D4" w14:textId="77777777" w:rsidR="00276DF7" w:rsidRDefault="00276DF7" w:rsidP="00276DF7">
      <w:pPr>
        <w:pStyle w:val="Didascalia"/>
        <w:shd w:val="clear" w:color="auto" w:fill="F2F2F2" w:themeFill="background1" w:themeFillShade="F2"/>
        <w:rPr>
          <w:rFonts w:ascii="Titillium" w:hAnsi="Titillium"/>
          <w:sz w:val="18"/>
        </w:rPr>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Pr>
          <w:rFonts w:ascii="Titillium" w:hAnsi="Titillium"/>
          <w:noProof/>
          <w:sz w:val="18"/>
        </w:rPr>
        <w:t>3</w:t>
      </w:r>
      <w:r>
        <w:rPr>
          <w:rFonts w:ascii="Titillium" w:hAnsi="Titillium"/>
          <w:sz w:val="18"/>
        </w:rPr>
        <w:fldChar w:fldCharType="end"/>
      </w:r>
    </w:p>
    <w:tbl>
      <w:tblPr>
        <w:tblStyle w:val="Grigliatabella"/>
        <w:tblW w:w="0" w:type="auto"/>
        <w:tblLook w:val="04A0" w:firstRow="1" w:lastRow="0" w:firstColumn="1" w:lastColumn="0" w:noHBand="0" w:noVBand="1"/>
      </w:tblPr>
      <w:tblGrid>
        <w:gridCol w:w="5949"/>
        <w:gridCol w:w="3265"/>
      </w:tblGrid>
      <w:tr w:rsidR="00276DF7" w:rsidRPr="007814A7" w14:paraId="7666541E" w14:textId="77777777" w:rsidTr="00EA5131">
        <w:tc>
          <w:tcPr>
            <w:tcW w:w="5949" w:type="dxa"/>
          </w:tcPr>
          <w:p w14:paraId="45D11392" w14:textId="77777777" w:rsidR="00276DF7" w:rsidRPr="007814A7" w:rsidRDefault="00276DF7" w:rsidP="00276DF7">
            <w:pPr>
              <w:shd w:val="clear" w:color="auto" w:fill="F2F2F2" w:themeFill="background1" w:themeFillShade="F2"/>
              <w:rPr>
                <w:rFonts w:ascii="Titillium" w:hAnsi="Titillium"/>
                <w:sz w:val="18"/>
                <w:szCs w:val="18"/>
              </w:rPr>
            </w:pPr>
            <w:r>
              <w:rPr>
                <w:rFonts w:ascii="Titillium" w:hAnsi="Titillium"/>
                <w:b/>
                <w:sz w:val="18"/>
                <w:szCs w:val="18"/>
              </w:rPr>
              <w:t>Importo complessivo (A+B)</w:t>
            </w:r>
          </w:p>
        </w:tc>
        <w:tc>
          <w:tcPr>
            <w:tcW w:w="3265" w:type="dxa"/>
          </w:tcPr>
          <w:p w14:paraId="00E899F1" w14:textId="77777777" w:rsidR="00276DF7" w:rsidRPr="007814A7" w:rsidRDefault="00276DF7" w:rsidP="00276DF7">
            <w:pPr>
              <w:shd w:val="clear" w:color="auto" w:fill="F2F2F2" w:themeFill="background1" w:themeFillShade="F2"/>
              <w:rPr>
                <w:rFonts w:ascii="Titillium" w:hAnsi="Titillium"/>
                <w:sz w:val="18"/>
                <w:szCs w:val="18"/>
              </w:rPr>
            </w:pPr>
          </w:p>
        </w:tc>
      </w:tr>
      <w:tr w:rsidR="00276DF7" w:rsidRPr="00871272" w14:paraId="7F265D3A" w14:textId="77777777" w:rsidTr="00EA5131">
        <w:tc>
          <w:tcPr>
            <w:tcW w:w="5949" w:type="dxa"/>
          </w:tcPr>
          <w:p w14:paraId="4EB5EB20" w14:textId="77777777" w:rsidR="00276DF7" w:rsidRPr="00871272" w:rsidRDefault="00276DF7" w:rsidP="00276DF7">
            <w:pPr>
              <w:shd w:val="clear" w:color="auto" w:fill="F2F2F2" w:themeFill="background1" w:themeFillShade="F2"/>
              <w:rPr>
                <w:rFonts w:ascii="Titillium" w:hAnsi="Titillium"/>
                <w:sz w:val="18"/>
                <w:szCs w:val="18"/>
              </w:rPr>
            </w:pPr>
            <w:r w:rsidRPr="00871272">
              <w:rPr>
                <w:rFonts w:ascii="Titillium" w:hAnsi="Titillium"/>
                <w:sz w:val="18"/>
                <w:szCs w:val="18"/>
              </w:rPr>
              <w:t>Importo per l’opzione di proroga</w:t>
            </w:r>
          </w:p>
        </w:tc>
        <w:tc>
          <w:tcPr>
            <w:tcW w:w="3265" w:type="dxa"/>
          </w:tcPr>
          <w:p w14:paraId="340A031E" w14:textId="77777777" w:rsidR="00276DF7" w:rsidRPr="00871272" w:rsidRDefault="00276DF7" w:rsidP="00276DF7">
            <w:pPr>
              <w:shd w:val="clear" w:color="auto" w:fill="F2F2F2" w:themeFill="background1" w:themeFillShade="F2"/>
              <w:rPr>
                <w:rFonts w:ascii="Titillium" w:hAnsi="Titillium"/>
                <w:sz w:val="18"/>
                <w:szCs w:val="18"/>
              </w:rPr>
            </w:pPr>
          </w:p>
        </w:tc>
      </w:tr>
      <w:tr w:rsidR="00276DF7" w:rsidRPr="00871272" w14:paraId="1F619028" w14:textId="77777777" w:rsidTr="00EA5131">
        <w:tc>
          <w:tcPr>
            <w:tcW w:w="5949" w:type="dxa"/>
          </w:tcPr>
          <w:p w14:paraId="7DD37746" w14:textId="77777777" w:rsidR="00276DF7" w:rsidRPr="00871272" w:rsidRDefault="00276DF7" w:rsidP="00276DF7">
            <w:pPr>
              <w:shd w:val="clear" w:color="auto" w:fill="F2F2F2" w:themeFill="background1" w:themeFillShade="F2"/>
              <w:rPr>
                <w:rFonts w:ascii="Titillium" w:hAnsi="Titillium"/>
                <w:sz w:val="18"/>
                <w:szCs w:val="18"/>
              </w:rPr>
            </w:pPr>
            <w:r w:rsidRPr="00871272">
              <w:rPr>
                <w:rFonts w:ascii="Titillium" w:hAnsi="Titillium"/>
                <w:sz w:val="18"/>
                <w:szCs w:val="18"/>
              </w:rPr>
              <w:t>importo per servizi analoghi</w:t>
            </w:r>
          </w:p>
        </w:tc>
        <w:tc>
          <w:tcPr>
            <w:tcW w:w="3265" w:type="dxa"/>
          </w:tcPr>
          <w:p w14:paraId="3493A65A" w14:textId="77777777" w:rsidR="00276DF7" w:rsidRPr="00871272" w:rsidRDefault="00276DF7" w:rsidP="00276DF7">
            <w:pPr>
              <w:shd w:val="clear" w:color="auto" w:fill="F2F2F2" w:themeFill="background1" w:themeFillShade="F2"/>
              <w:rPr>
                <w:rFonts w:ascii="Titillium" w:hAnsi="Titillium"/>
                <w:sz w:val="18"/>
                <w:szCs w:val="18"/>
              </w:rPr>
            </w:pPr>
          </w:p>
        </w:tc>
      </w:tr>
      <w:tr w:rsidR="00276DF7" w:rsidRPr="00871272" w14:paraId="43764333" w14:textId="77777777" w:rsidTr="00EA5131">
        <w:tc>
          <w:tcPr>
            <w:tcW w:w="5949" w:type="dxa"/>
          </w:tcPr>
          <w:p w14:paraId="7CE4109D" w14:textId="77777777" w:rsidR="00276DF7" w:rsidRPr="00871272" w:rsidRDefault="00276DF7" w:rsidP="00276DF7">
            <w:pPr>
              <w:shd w:val="clear" w:color="auto" w:fill="F2F2F2" w:themeFill="background1" w:themeFillShade="F2"/>
              <w:rPr>
                <w:rFonts w:ascii="Titillium" w:hAnsi="Titillium"/>
                <w:sz w:val="18"/>
                <w:szCs w:val="18"/>
              </w:rPr>
            </w:pPr>
            <w:r w:rsidRPr="00871272">
              <w:rPr>
                <w:rFonts w:ascii="Titillium" w:hAnsi="Titillium"/>
                <w:sz w:val="18"/>
                <w:szCs w:val="18"/>
              </w:rPr>
              <w:t>Importo massimo del quinto d’obbligo, in caso di variazioni in aumento</w:t>
            </w:r>
          </w:p>
        </w:tc>
        <w:tc>
          <w:tcPr>
            <w:tcW w:w="3265" w:type="dxa"/>
          </w:tcPr>
          <w:p w14:paraId="545E5F2E" w14:textId="77777777" w:rsidR="00276DF7" w:rsidRPr="00871272" w:rsidRDefault="00276DF7" w:rsidP="00276DF7">
            <w:pPr>
              <w:shd w:val="clear" w:color="auto" w:fill="F2F2F2" w:themeFill="background1" w:themeFillShade="F2"/>
              <w:rPr>
                <w:rFonts w:ascii="Titillium" w:hAnsi="Titillium"/>
                <w:sz w:val="18"/>
                <w:szCs w:val="18"/>
              </w:rPr>
            </w:pPr>
          </w:p>
        </w:tc>
      </w:tr>
      <w:tr w:rsidR="00276DF7" w:rsidRPr="00871272" w14:paraId="76788FD0" w14:textId="77777777" w:rsidTr="00EA5131">
        <w:tc>
          <w:tcPr>
            <w:tcW w:w="5949" w:type="dxa"/>
          </w:tcPr>
          <w:p w14:paraId="2AFCCD0D" w14:textId="77777777" w:rsidR="00276DF7" w:rsidRPr="00871272" w:rsidRDefault="00276DF7" w:rsidP="00276DF7">
            <w:pPr>
              <w:shd w:val="clear" w:color="auto" w:fill="F2F2F2" w:themeFill="background1" w:themeFillShade="F2"/>
              <w:rPr>
                <w:rFonts w:ascii="Titillium" w:hAnsi="Titillium"/>
                <w:sz w:val="18"/>
                <w:szCs w:val="18"/>
              </w:rPr>
            </w:pPr>
            <w:r w:rsidRPr="00871272">
              <w:rPr>
                <w:rFonts w:ascii="Titillium" w:hAnsi="Titillium"/>
                <w:sz w:val="18"/>
                <w:szCs w:val="18"/>
              </w:rPr>
              <w:t>….</w:t>
            </w:r>
            <w:r w:rsidRPr="00871272">
              <w:rPr>
                <w:rFonts w:ascii="Titillium" w:hAnsi="Titillium"/>
                <w:i/>
                <w:iCs/>
                <w:sz w:val="18"/>
                <w:szCs w:val="18"/>
              </w:rPr>
              <w:t xml:space="preserve"> [Importo delle ulteriori opzioni, ove quantificabili]</w:t>
            </w:r>
          </w:p>
        </w:tc>
        <w:tc>
          <w:tcPr>
            <w:tcW w:w="3265" w:type="dxa"/>
          </w:tcPr>
          <w:p w14:paraId="3F53372D" w14:textId="77777777" w:rsidR="00276DF7" w:rsidRPr="00871272" w:rsidRDefault="00276DF7" w:rsidP="00276DF7">
            <w:pPr>
              <w:shd w:val="clear" w:color="auto" w:fill="F2F2F2" w:themeFill="background1" w:themeFillShade="F2"/>
              <w:rPr>
                <w:rFonts w:ascii="Titillium" w:hAnsi="Titillium"/>
                <w:sz w:val="18"/>
                <w:szCs w:val="18"/>
              </w:rPr>
            </w:pPr>
          </w:p>
        </w:tc>
      </w:tr>
      <w:tr w:rsidR="00276DF7" w:rsidRPr="007814A7" w14:paraId="55AE6248" w14:textId="77777777" w:rsidTr="00EA5131">
        <w:tc>
          <w:tcPr>
            <w:tcW w:w="5949" w:type="dxa"/>
          </w:tcPr>
          <w:p w14:paraId="0A320FEF" w14:textId="77777777" w:rsidR="00276DF7" w:rsidRPr="00871272" w:rsidRDefault="00276DF7" w:rsidP="00276DF7">
            <w:pPr>
              <w:shd w:val="clear" w:color="auto" w:fill="F2F2F2" w:themeFill="background1" w:themeFillShade="F2"/>
              <w:jc w:val="right"/>
              <w:rPr>
                <w:rFonts w:ascii="Titillium" w:hAnsi="Titillium"/>
                <w:sz w:val="18"/>
                <w:szCs w:val="18"/>
              </w:rPr>
            </w:pPr>
            <w:r w:rsidRPr="00871272">
              <w:rPr>
                <w:rFonts w:ascii="Titillium" w:hAnsi="Titillium"/>
                <w:b/>
                <w:bCs/>
                <w:sz w:val="18"/>
                <w:szCs w:val="18"/>
              </w:rPr>
              <w:t>Valore globale stimato</w:t>
            </w:r>
          </w:p>
        </w:tc>
        <w:tc>
          <w:tcPr>
            <w:tcW w:w="3265" w:type="dxa"/>
          </w:tcPr>
          <w:p w14:paraId="3D99F08F" w14:textId="77777777" w:rsidR="00276DF7" w:rsidRPr="001A53BE" w:rsidRDefault="00276DF7" w:rsidP="00276DF7">
            <w:pPr>
              <w:shd w:val="clear" w:color="auto" w:fill="F2F2F2" w:themeFill="background1" w:themeFillShade="F2"/>
              <w:rPr>
                <w:rFonts w:ascii="Titillium" w:hAnsi="Titillium"/>
                <w:i/>
                <w:iCs/>
                <w:sz w:val="18"/>
                <w:szCs w:val="18"/>
              </w:rPr>
            </w:pPr>
            <w:r w:rsidRPr="00871272">
              <w:rPr>
                <w:rFonts w:ascii="Titillium" w:hAnsi="Titillium"/>
                <w:i/>
                <w:iCs/>
                <w:sz w:val="18"/>
                <w:szCs w:val="18"/>
              </w:rPr>
              <w:t xml:space="preserve"> … [somma di tutti gli importi]</w:t>
            </w:r>
          </w:p>
        </w:tc>
      </w:tr>
    </w:tbl>
    <w:p w14:paraId="1DFD572C" w14:textId="77777777" w:rsidR="00276DF7" w:rsidRDefault="00276DF7" w:rsidP="00276DF7">
      <w:pPr>
        <w:shd w:val="clear" w:color="auto" w:fill="F2F2F2" w:themeFill="background1" w:themeFillShade="F2"/>
      </w:pPr>
    </w:p>
    <w:p w14:paraId="1B0605DC" w14:textId="77777777" w:rsidR="00276DF7" w:rsidRPr="00A33ECF" w:rsidRDefault="00276DF7" w:rsidP="00276DF7">
      <w:pPr>
        <w:pStyle w:val="Titolo2"/>
        <w:numPr>
          <w:ilvl w:val="0"/>
          <w:numId w:val="4"/>
        </w:numPr>
        <w:shd w:val="clear" w:color="auto" w:fill="F2F2F2" w:themeFill="background1" w:themeFillShade="F2"/>
        <w:ind w:left="357" w:hanging="357"/>
        <w:rPr>
          <w:iCs w:val="0"/>
        </w:rPr>
      </w:pPr>
      <w:bookmarkStart w:id="285" w:name="_Toc498419727"/>
      <w:bookmarkStart w:id="286" w:name="_Toc497831535"/>
      <w:bookmarkStart w:id="287" w:name="_Toc139549421"/>
      <w:bookmarkEnd w:id="285"/>
      <w:bookmarkEnd w:id="286"/>
      <w:r w:rsidRPr="00A33ECF">
        <w:rPr>
          <w:rFonts w:ascii="Titillium" w:hAnsi="Titillium"/>
          <w:iCs w:val="0"/>
          <w:sz w:val="18"/>
          <w:szCs w:val="18"/>
        </w:rPr>
        <w:t>SOGGETTI AMMESSI IN FORMA SINGOLA E ASSOCIATA</w:t>
      </w:r>
      <w:r w:rsidRPr="00A33ECF">
        <w:rPr>
          <w:rFonts w:ascii="Titillium" w:hAnsi="Titillium"/>
          <w:iCs w:val="0"/>
          <w:sz w:val="18"/>
          <w:szCs w:val="18"/>
          <w:lang w:val="it-IT"/>
        </w:rPr>
        <w:t xml:space="preserve"> E CONDIZIONI DI PARTECIPAZIONE</w:t>
      </w:r>
      <w:bookmarkEnd w:id="287"/>
    </w:p>
    <w:p w14:paraId="511B785A"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065D5F">
        <w:rPr>
          <w:rFonts w:ascii="Titillium" w:hAnsi="Titillium" w:cs="Calibri"/>
          <w:i/>
          <w:iCs/>
          <w:sz w:val="18"/>
          <w:szCs w:val="18"/>
        </w:rPr>
        <w:t>[</w:t>
      </w:r>
      <w:r w:rsidRPr="00065D5F">
        <w:rPr>
          <w:rFonts w:ascii="Titillium" w:hAnsi="Titillium" w:cs="Calibri"/>
          <w:b/>
          <w:i/>
          <w:iCs/>
          <w:sz w:val="18"/>
          <w:szCs w:val="18"/>
        </w:rPr>
        <w:t>Facoltativo</w:t>
      </w:r>
      <w:r>
        <w:rPr>
          <w:rFonts w:ascii="Titillium" w:hAnsi="Titillium" w:cs="Calibri"/>
          <w:b/>
          <w:i/>
          <w:iCs/>
          <w:sz w:val="18"/>
          <w:szCs w:val="18"/>
        </w:rPr>
        <w:t>:</w:t>
      </w:r>
      <w:r w:rsidRPr="00065D5F">
        <w:rPr>
          <w:rFonts w:ascii="Titillium" w:hAnsi="Titillium" w:cs="Calibri"/>
          <w:b/>
          <w:i/>
          <w:iCs/>
          <w:sz w:val="18"/>
          <w:szCs w:val="18"/>
        </w:rPr>
        <w:t xml:space="preserve"> riserva di partecipazione]</w:t>
      </w:r>
      <w:r w:rsidRPr="00065D5F">
        <w:rPr>
          <w:rFonts w:ascii="Titillium" w:hAnsi="Titillium" w:cs="Calibri"/>
          <w:sz w:val="18"/>
          <w:szCs w:val="18"/>
        </w:rPr>
        <w:t xml:space="preserve"> La partecipazione alla presente gara è riservata a operatori economici, cooperative sociali o loro consorzi il cui scopo principale sia l’integrazione sociale e professionale delle persone con disabilità o svantaggiate</w:t>
      </w:r>
      <w:r>
        <w:rPr>
          <w:rFonts w:ascii="Titillium" w:hAnsi="Titillium" w:cs="Calibri"/>
          <w:sz w:val="18"/>
          <w:szCs w:val="18"/>
        </w:rPr>
        <w:t xml:space="preserve">. </w:t>
      </w:r>
      <w:r w:rsidRPr="00065D5F">
        <w:rPr>
          <w:rFonts w:ascii="Titillium" w:hAnsi="Titillium" w:cs="Calibri"/>
          <w:i/>
          <w:iCs/>
          <w:sz w:val="18"/>
          <w:szCs w:val="18"/>
        </w:rPr>
        <w:t>[</w:t>
      </w:r>
      <w:r>
        <w:rPr>
          <w:rFonts w:ascii="Titillium" w:hAnsi="Titillium" w:cs="Calibri"/>
          <w:b/>
          <w:i/>
          <w:iCs/>
          <w:sz w:val="18"/>
          <w:szCs w:val="18"/>
        </w:rPr>
        <w:t>in alternativa</w:t>
      </w:r>
      <w:r w:rsidRPr="00065D5F">
        <w:rPr>
          <w:rFonts w:ascii="Titillium" w:hAnsi="Titillium" w:cs="Calibri"/>
          <w:b/>
          <w:i/>
          <w:iCs/>
          <w:sz w:val="18"/>
          <w:szCs w:val="18"/>
        </w:rPr>
        <w:t>]</w:t>
      </w:r>
      <w:r>
        <w:rPr>
          <w:rFonts w:ascii="Titillium" w:hAnsi="Titillium" w:cs="Calibri"/>
          <w:b/>
          <w:i/>
          <w:iCs/>
          <w:sz w:val="18"/>
          <w:szCs w:val="18"/>
        </w:rPr>
        <w:t xml:space="preserve"> </w:t>
      </w:r>
      <w:r>
        <w:rPr>
          <w:rFonts w:ascii="Titillium" w:hAnsi="Titillium" w:cs="Calibri"/>
          <w:sz w:val="18"/>
          <w:szCs w:val="18"/>
        </w:rPr>
        <w:t>L’esecuzione del contratto</w:t>
      </w:r>
      <w:r w:rsidRPr="00065D5F">
        <w:rPr>
          <w:rFonts w:ascii="Titillium" w:hAnsi="Titillium" w:cs="Calibri"/>
          <w:sz w:val="18"/>
          <w:szCs w:val="18"/>
        </w:rPr>
        <w:t xml:space="preserve"> è riservata a operatori economici, cooperative sociali o loro consorzi </w:t>
      </w:r>
      <w:r>
        <w:rPr>
          <w:rFonts w:ascii="Titillium" w:hAnsi="Titillium" w:cs="Calibri"/>
          <w:sz w:val="18"/>
          <w:szCs w:val="18"/>
        </w:rPr>
        <w:t>che nell’ambito di programmi di lavoro protetto occupano almeno il trenta percento di lavoratori</w:t>
      </w:r>
      <w:r w:rsidRPr="00065D5F">
        <w:rPr>
          <w:rFonts w:ascii="Titillium" w:hAnsi="Titillium" w:cs="Calibri"/>
          <w:sz w:val="18"/>
          <w:szCs w:val="18"/>
        </w:rPr>
        <w:t xml:space="preserve"> con disabilità o svantaggiat</w:t>
      </w:r>
      <w:r>
        <w:rPr>
          <w:rFonts w:ascii="Titillium" w:hAnsi="Titillium" w:cs="Calibri"/>
          <w:sz w:val="18"/>
          <w:szCs w:val="18"/>
        </w:rPr>
        <w:t>i.</w:t>
      </w:r>
    </w:p>
    <w:p w14:paraId="25E4EDB6" w14:textId="77777777" w:rsidR="00276DF7" w:rsidRPr="00A76F5D" w:rsidRDefault="00276DF7" w:rsidP="00276DF7">
      <w:pPr>
        <w:shd w:val="clear" w:color="auto" w:fill="F2F2F2" w:themeFill="background1" w:themeFillShade="F2"/>
        <w:spacing w:before="60" w:after="60"/>
        <w:rPr>
          <w:rFonts w:ascii="Titillium" w:hAnsi="Titillium" w:cs="Calibri"/>
          <w:sz w:val="18"/>
          <w:szCs w:val="18"/>
        </w:rPr>
      </w:pPr>
      <w:r w:rsidRPr="00A76F5D">
        <w:rPr>
          <w:rFonts w:ascii="Titillium" w:hAnsi="Titillium" w:cs="Calibri"/>
          <w:sz w:val="18"/>
          <w:szCs w:val="18"/>
        </w:rPr>
        <w:t>Gli operatori economici possono partecipare alla presente gara in forma singola o associata.</w:t>
      </w:r>
    </w:p>
    <w:p w14:paraId="5A8030DD" w14:textId="77777777" w:rsidR="00276DF7" w:rsidRPr="00A76F5D" w:rsidRDefault="00276DF7" w:rsidP="00276DF7">
      <w:pPr>
        <w:shd w:val="clear" w:color="auto" w:fill="F2F2F2" w:themeFill="background1" w:themeFillShade="F2"/>
        <w:spacing w:before="60" w:after="60"/>
        <w:rPr>
          <w:rFonts w:ascii="Titillium" w:hAnsi="Titillium" w:cs="Calibri"/>
          <w:sz w:val="18"/>
          <w:szCs w:val="18"/>
        </w:rPr>
      </w:pPr>
      <w:r w:rsidRPr="00A76F5D">
        <w:rPr>
          <w:rFonts w:ascii="Titillium" w:hAnsi="Titillium" w:cs="Calibri"/>
          <w:sz w:val="18"/>
          <w:szCs w:val="18"/>
        </w:rPr>
        <w:t xml:space="preserve">Ai soggetti costituiti in forma associata si applicano le disposizioni di cui agli articoli 67 e 68 del Codice. </w:t>
      </w:r>
    </w:p>
    <w:p w14:paraId="02DF6EA6" w14:textId="77777777" w:rsidR="00276DF7" w:rsidRDefault="00276DF7" w:rsidP="00276DF7">
      <w:pPr>
        <w:shd w:val="clear" w:color="auto" w:fill="F2F2F2" w:themeFill="background1" w:themeFillShade="F2"/>
        <w:spacing w:before="60" w:after="60"/>
        <w:rPr>
          <w:rFonts w:ascii="Titillium" w:hAnsi="Titillium" w:cs="Courier New"/>
          <w:sz w:val="18"/>
          <w:szCs w:val="18"/>
        </w:rPr>
      </w:pPr>
      <w:r w:rsidRPr="00ED40D0">
        <w:rPr>
          <w:rFonts w:ascii="Titillium" w:hAnsi="Titillium" w:cs="Courier New"/>
          <w:sz w:val="18"/>
          <w:szCs w:val="18"/>
        </w:rPr>
        <w:t>I consorzi di cui a</w:t>
      </w:r>
      <w:r>
        <w:rPr>
          <w:rFonts w:ascii="Titillium" w:hAnsi="Titillium" w:cs="Courier New"/>
          <w:sz w:val="18"/>
          <w:szCs w:val="18"/>
        </w:rPr>
        <w:t xml:space="preserve">gli articoli </w:t>
      </w:r>
      <w:r w:rsidRPr="00ED40D0">
        <w:rPr>
          <w:rFonts w:ascii="Titillium" w:hAnsi="Titillium" w:cs="Courier New"/>
          <w:sz w:val="18"/>
          <w:szCs w:val="18"/>
        </w:rPr>
        <w:t>65</w:t>
      </w:r>
      <w:r>
        <w:rPr>
          <w:rFonts w:ascii="Titillium" w:hAnsi="Titillium" w:cs="Courier New"/>
          <w:sz w:val="18"/>
          <w:szCs w:val="18"/>
        </w:rPr>
        <w:t>, comma 2</w:t>
      </w:r>
      <w:r w:rsidRPr="00ED40D0">
        <w:rPr>
          <w:rFonts w:ascii="Titillium" w:hAnsi="Titillium" w:cs="Courier New"/>
          <w:sz w:val="18"/>
          <w:szCs w:val="18"/>
        </w:rPr>
        <w:t xml:space="preserve"> del Codice che intendono eseguire le prestazioni tramite i propri consorziati sono tenuti ad indicare per quali consorziati il consorzio concorre.</w:t>
      </w:r>
    </w:p>
    <w:p w14:paraId="50A47A0B" w14:textId="77777777" w:rsidR="00276DF7" w:rsidRPr="00ED40D0" w:rsidRDefault="00276DF7" w:rsidP="00276DF7">
      <w:pPr>
        <w:shd w:val="clear" w:color="auto" w:fill="F2F2F2" w:themeFill="background1" w:themeFillShade="F2"/>
        <w:spacing w:before="60" w:after="60"/>
        <w:rPr>
          <w:rFonts w:ascii="Titillium" w:hAnsi="Titillium" w:cs="Courier New"/>
          <w:sz w:val="18"/>
          <w:szCs w:val="18"/>
        </w:rPr>
      </w:pPr>
      <w:r>
        <w:rPr>
          <w:rFonts w:ascii="Titillium" w:hAnsi="Titillium" w:cs="Courier New"/>
          <w:sz w:val="18"/>
          <w:szCs w:val="18"/>
        </w:rPr>
        <w:t>I consorzi di cui all’articolo 65, comma 2, lettere b) e c) sono tenuti ad indicare per quali consorziati il consorzio concorre.</w:t>
      </w:r>
    </w:p>
    <w:p w14:paraId="50EAEA7D" w14:textId="77777777" w:rsidR="00276DF7" w:rsidRPr="00A76F5D" w:rsidRDefault="00276DF7" w:rsidP="00276DF7">
      <w:pPr>
        <w:shd w:val="clear" w:color="auto" w:fill="F2F2F2" w:themeFill="background1" w:themeFillShade="F2"/>
        <w:spacing w:before="60" w:after="60"/>
        <w:rPr>
          <w:rFonts w:ascii="Titillium" w:hAnsi="Titillium" w:cs="Courier New"/>
          <w:sz w:val="18"/>
          <w:szCs w:val="18"/>
        </w:rPr>
      </w:pPr>
      <w:r w:rsidRPr="00A76F5D">
        <w:rPr>
          <w:rFonts w:ascii="Titillium" w:hAnsi="Titillium" w:cs="Courier New"/>
          <w:b/>
          <w:i/>
          <w:iCs/>
          <w:sz w:val="18"/>
          <w:szCs w:val="18"/>
        </w:rPr>
        <w:lastRenderedPageBreak/>
        <w:t>[Facoltativo]</w:t>
      </w:r>
      <w:r w:rsidRPr="00A76F5D">
        <w:rPr>
          <w:rFonts w:ascii="Titillium" w:hAnsi="Titillium" w:cs="Courier New"/>
          <w:b/>
          <w:sz w:val="18"/>
          <w:szCs w:val="18"/>
        </w:rPr>
        <w:t xml:space="preserve"> </w:t>
      </w:r>
      <w:r w:rsidRPr="00A76F5D">
        <w:rPr>
          <w:rFonts w:ascii="Titillium" w:hAnsi="Titillium" w:cs="Courier New"/>
          <w:sz w:val="18"/>
          <w:szCs w:val="18"/>
        </w:rPr>
        <w:t xml:space="preserve">Possono essere </w:t>
      </w:r>
      <w:r w:rsidRPr="00A76F5D">
        <w:rPr>
          <w:rFonts w:ascii="Titillium" w:hAnsi="Titillium" w:cs="Courier New"/>
          <w:b/>
          <w:sz w:val="18"/>
          <w:szCs w:val="18"/>
        </w:rPr>
        <w:t>esclusi</w:t>
      </w:r>
      <w:r w:rsidRPr="00A76F5D">
        <w:rPr>
          <w:rFonts w:ascii="Titillium" w:hAnsi="Titillium" w:cs="Courier New"/>
          <w:sz w:val="18"/>
          <w:szCs w:val="18"/>
        </w:rPr>
        <w:t xml:space="preserve"> dalla gara, previo contraddittorio, i raggruppamenti temporanei costituiti da due o più operatori economici che singolarmente hanno i requisiti per partecipare alla gara. Tale facoltà non opera nel caso in cui i raggruppamenti sono costituiti da imprese controllate e/o collegate ai sensi dell’articolo 2359 </w:t>
      </w:r>
      <w:r>
        <w:rPr>
          <w:rFonts w:ascii="Titillium" w:hAnsi="Titillium" w:cs="Courier New"/>
          <w:sz w:val="18"/>
          <w:szCs w:val="18"/>
        </w:rPr>
        <w:t>del Codice civile</w:t>
      </w:r>
      <w:r w:rsidRPr="00A76F5D">
        <w:rPr>
          <w:rFonts w:ascii="Titillium" w:hAnsi="Titillium" w:cs="Courier New"/>
          <w:sz w:val="18"/>
          <w:szCs w:val="18"/>
        </w:rPr>
        <w:t xml:space="preserve">. </w:t>
      </w:r>
    </w:p>
    <w:p w14:paraId="5F329CDE" w14:textId="77777777" w:rsidR="00276DF7" w:rsidRDefault="00276DF7" w:rsidP="00276DF7">
      <w:pPr>
        <w:shd w:val="clear" w:color="auto" w:fill="F2F2F2" w:themeFill="background1" w:themeFillShade="F2"/>
        <w:spacing w:before="60" w:after="60"/>
        <w:rPr>
          <w:rFonts w:ascii="Titillium" w:hAnsi="Titillium" w:cs="Calibri"/>
          <w:iCs/>
          <w:sz w:val="18"/>
          <w:szCs w:val="18"/>
        </w:rPr>
      </w:pPr>
      <w:r>
        <w:rPr>
          <w:rFonts w:ascii="Titillium" w:hAnsi="Titillium" w:cs="Courier New"/>
          <w:sz w:val="18"/>
          <w:szCs w:val="18"/>
        </w:rPr>
        <w:t xml:space="preserve">Il concorrente che partecipa alla gara </w:t>
      </w:r>
      <w:r w:rsidRPr="006F6FFB">
        <w:rPr>
          <w:rFonts w:ascii="Titillium" w:hAnsi="Titillium" w:cs="Calibri"/>
          <w:i/>
          <w:sz w:val="18"/>
          <w:szCs w:val="18"/>
        </w:rPr>
        <w:t>[in caso di suddivisione dell’appalto in lotti distinti sostituire “gara” con “singolo lotto”]</w:t>
      </w:r>
      <w:r>
        <w:rPr>
          <w:rFonts w:ascii="Titillium" w:hAnsi="Titillium" w:cs="Calibri"/>
          <w:i/>
          <w:sz w:val="18"/>
          <w:szCs w:val="18"/>
        </w:rPr>
        <w:t xml:space="preserve"> </w:t>
      </w:r>
      <w:r w:rsidRPr="00FB119D">
        <w:rPr>
          <w:rFonts w:ascii="Titillium" w:hAnsi="Titillium" w:cs="Calibri"/>
          <w:iCs/>
          <w:sz w:val="18"/>
          <w:szCs w:val="18"/>
        </w:rPr>
        <w:t>in una delle form</w:t>
      </w:r>
      <w:r>
        <w:rPr>
          <w:rFonts w:ascii="Titillium" w:hAnsi="Titillium" w:cs="Calibri"/>
          <w:iCs/>
          <w:sz w:val="18"/>
          <w:szCs w:val="18"/>
        </w:rPr>
        <w:t>e di seguito indicate</w:t>
      </w:r>
      <w:r w:rsidRPr="00FB119D">
        <w:rPr>
          <w:rFonts w:ascii="Titillium" w:hAnsi="Titillium" w:cs="Calibri"/>
          <w:iCs/>
          <w:sz w:val="18"/>
          <w:szCs w:val="18"/>
        </w:rPr>
        <w:t xml:space="preserve"> è</w:t>
      </w:r>
      <w:r>
        <w:rPr>
          <w:rFonts w:ascii="Titillium" w:hAnsi="Titillium" w:cs="Calibri"/>
          <w:iCs/>
          <w:sz w:val="18"/>
          <w:szCs w:val="18"/>
        </w:rPr>
        <w:t xml:space="preserve"> escluso nel caso in cui la stazione </w:t>
      </w:r>
      <w:bookmarkStart w:id="288" w:name="_Hlk130830647"/>
      <w:r>
        <w:rPr>
          <w:rFonts w:ascii="Titillium" w:hAnsi="Titillium" w:cs="Calibri"/>
          <w:iCs/>
          <w:sz w:val="18"/>
          <w:szCs w:val="18"/>
        </w:rPr>
        <w:t>appaltante accerti la sussistenza di</w:t>
      </w:r>
      <w:r w:rsidRPr="00AE02A4">
        <w:rPr>
          <w:rFonts w:ascii="Titillium" w:hAnsi="Titillium" w:cs="Calibri"/>
          <w:iCs/>
          <w:sz w:val="18"/>
          <w:szCs w:val="18"/>
        </w:rPr>
        <w:t xml:space="preserve"> rilevanti indizi tali da far ritenere che le offerte degli operatori economici siano imputabili ad un</w:t>
      </w:r>
      <w:r>
        <w:rPr>
          <w:rFonts w:ascii="Titillium" w:hAnsi="Titillium" w:cs="Calibri"/>
          <w:iCs/>
          <w:sz w:val="18"/>
          <w:szCs w:val="18"/>
        </w:rPr>
        <w:t xml:space="preserve"> </w:t>
      </w:r>
      <w:r w:rsidRPr="00AE02A4">
        <w:rPr>
          <w:rFonts w:ascii="Titillium" w:hAnsi="Titillium" w:cs="Calibri"/>
          <w:iCs/>
          <w:sz w:val="18"/>
          <w:szCs w:val="18"/>
        </w:rPr>
        <w:t>unico centro decisiona</w:t>
      </w:r>
      <w:bookmarkEnd w:id="288"/>
      <w:r w:rsidRPr="00AE02A4">
        <w:rPr>
          <w:rFonts w:ascii="Titillium" w:hAnsi="Titillium" w:cs="Calibri"/>
          <w:iCs/>
          <w:sz w:val="18"/>
          <w:szCs w:val="18"/>
        </w:rPr>
        <w:t>le a cagione di accordi intercorsi con altri operatori economici partecipanti alla stessa</w:t>
      </w:r>
      <w:r>
        <w:rPr>
          <w:rFonts w:ascii="Titillium" w:hAnsi="Titillium" w:cs="Calibri"/>
          <w:iCs/>
          <w:sz w:val="18"/>
          <w:szCs w:val="18"/>
        </w:rPr>
        <w:t xml:space="preserve"> </w:t>
      </w:r>
      <w:r w:rsidRPr="00AE02A4">
        <w:rPr>
          <w:rFonts w:ascii="Titillium" w:hAnsi="Titillium" w:cs="Calibri"/>
          <w:iCs/>
          <w:sz w:val="18"/>
          <w:szCs w:val="18"/>
        </w:rPr>
        <w:t>gara</w:t>
      </w:r>
      <w:r>
        <w:rPr>
          <w:rFonts w:ascii="Titillium" w:hAnsi="Titillium" w:cs="Calibri"/>
          <w:iCs/>
          <w:sz w:val="18"/>
          <w:szCs w:val="18"/>
        </w:rPr>
        <w:t>:</w:t>
      </w:r>
    </w:p>
    <w:p w14:paraId="33B8DA39" w14:textId="77777777" w:rsidR="00276DF7" w:rsidRPr="00814AE5" w:rsidRDefault="00276DF7" w:rsidP="00276DF7">
      <w:pPr>
        <w:pStyle w:val="Paragrafoelenco"/>
        <w:numPr>
          <w:ilvl w:val="0"/>
          <w:numId w:val="66"/>
        </w:numPr>
        <w:shd w:val="clear" w:color="auto" w:fill="F2F2F2" w:themeFill="background1" w:themeFillShade="F2"/>
        <w:spacing w:before="60" w:after="60"/>
        <w:rPr>
          <w:rFonts w:ascii="Titillium" w:hAnsi="Titillium" w:cs="Courier New"/>
          <w:sz w:val="18"/>
          <w:szCs w:val="18"/>
        </w:rPr>
      </w:pPr>
      <w:r>
        <w:rPr>
          <w:rFonts w:ascii="Titillium" w:hAnsi="Titillium" w:cs="Courier New"/>
          <w:sz w:val="18"/>
          <w:szCs w:val="18"/>
        </w:rPr>
        <w:t xml:space="preserve">partecipazione </w:t>
      </w:r>
      <w:r w:rsidRPr="006F6FFB">
        <w:rPr>
          <w:rFonts w:ascii="Titillium" w:hAnsi="Titillium" w:cs="Courier New"/>
          <w:sz w:val="18"/>
          <w:szCs w:val="18"/>
        </w:rPr>
        <w:t>in più</w:t>
      </w:r>
      <w:r w:rsidRPr="006F6FFB">
        <w:rPr>
          <w:rFonts w:ascii="Titillium" w:hAnsi="Titillium" w:cs="Courier New"/>
          <w:b/>
          <w:sz w:val="18"/>
          <w:szCs w:val="18"/>
        </w:rPr>
        <w:t xml:space="preserve"> </w:t>
      </w:r>
      <w:r w:rsidRPr="006F6FFB">
        <w:rPr>
          <w:rFonts w:ascii="Titillium" w:hAnsi="Titillium" w:cs="Courier New"/>
          <w:sz w:val="18"/>
          <w:szCs w:val="18"/>
        </w:rPr>
        <w:t xml:space="preserve">di un raggruppamento temporaneo o consorzio ordinario di concorrenti o </w:t>
      </w:r>
      <w:r w:rsidRPr="006F6FFB">
        <w:rPr>
          <w:rFonts w:ascii="Titillium" w:hAnsi="Titillium" w:cs="Calibri"/>
          <w:sz w:val="18"/>
          <w:szCs w:val="18"/>
        </w:rPr>
        <w:t xml:space="preserve">aggregazione di operatori economici aderenti al contratto di rete (nel prosieguo, aggregazione </w:t>
      </w:r>
      <w:r w:rsidRPr="006F6FFB">
        <w:rPr>
          <w:rFonts w:ascii="Titillium" w:hAnsi="Titillium"/>
          <w:sz w:val="18"/>
          <w:szCs w:val="18"/>
        </w:rPr>
        <w:t>di reti</w:t>
      </w:r>
      <w:r w:rsidRPr="006F6FFB">
        <w:rPr>
          <w:rFonts w:ascii="Titillium" w:hAnsi="Titillium" w:cs="Calibri"/>
          <w:sz w:val="18"/>
          <w:szCs w:val="18"/>
        </w:rPr>
        <w:t>sti)</w:t>
      </w:r>
      <w:r>
        <w:rPr>
          <w:rFonts w:ascii="Titillium" w:hAnsi="Titillium" w:cs="Calibri"/>
          <w:sz w:val="18"/>
          <w:szCs w:val="18"/>
        </w:rPr>
        <w:t>;</w:t>
      </w:r>
    </w:p>
    <w:p w14:paraId="559893EC" w14:textId="77777777" w:rsidR="00276DF7" w:rsidRDefault="00276DF7" w:rsidP="00276DF7">
      <w:pPr>
        <w:pStyle w:val="Paragrafoelenco"/>
        <w:numPr>
          <w:ilvl w:val="0"/>
          <w:numId w:val="66"/>
        </w:numPr>
        <w:shd w:val="clear" w:color="auto" w:fill="F2F2F2" w:themeFill="background1" w:themeFillShade="F2"/>
        <w:spacing w:before="60" w:after="60"/>
        <w:rPr>
          <w:rFonts w:ascii="Titillium" w:hAnsi="Titillium" w:cs="Courier New"/>
          <w:sz w:val="18"/>
          <w:szCs w:val="18"/>
        </w:rPr>
      </w:pPr>
      <w:r w:rsidRPr="00AE02A4">
        <w:rPr>
          <w:rFonts w:ascii="Titillium" w:hAnsi="Titillium" w:cs="Courier New"/>
          <w:sz w:val="18"/>
          <w:szCs w:val="18"/>
        </w:rPr>
        <w:t>partecipazione sia in raggruppamento o consorzio ordinario di concorrenti sia in forma individuale:</w:t>
      </w:r>
    </w:p>
    <w:p w14:paraId="596FAF0E" w14:textId="77777777" w:rsidR="00276DF7" w:rsidRPr="001F523C" w:rsidRDefault="00276DF7" w:rsidP="00276DF7">
      <w:pPr>
        <w:pStyle w:val="Paragrafoelenco"/>
        <w:numPr>
          <w:ilvl w:val="0"/>
          <w:numId w:val="66"/>
        </w:numPr>
        <w:shd w:val="clear" w:color="auto" w:fill="F2F2F2" w:themeFill="background1" w:themeFillShade="F2"/>
        <w:spacing w:before="60" w:after="60"/>
        <w:rPr>
          <w:rFonts w:ascii="Titillium" w:hAnsi="Titillium" w:cs="Calibri"/>
          <w:sz w:val="18"/>
          <w:szCs w:val="18"/>
        </w:rPr>
      </w:pPr>
      <w:r>
        <w:rPr>
          <w:rFonts w:ascii="Titillium" w:hAnsi="Titillium" w:cs="Courier New"/>
          <w:sz w:val="18"/>
          <w:szCs w:val="18"/>
        </w:rPr>
        <w:t xml:space="preserve">partecipazione sia in aggregazione di retisti sia in forma individuale. </w:t>
      </w:r>
      <w:r>
        <w:rPr>
          <w:rFonts w:ascii="Titillium" w:hAnsi="Titillium" w:cs="Calibri"/>
          <w:sz w:val="18"/>
          <w:szCs w:val="18"/>
        </w:rPr>
        <w:t xml:space="preserve">Tale esclusione non si applica alle </w:t>
      </w:r>
      <w:r w:rsidRPr="00AE02A4">
        <w:rPr>
          <w:rFonts w:ascii="Titillium" w:hAnsi="Titillium" w:cs="Calibri"/>
          <w:sz w:val="18"/>
          <w:szCs w:val="18"/>
        </w:rPr>
        <w:t xml:space="preserve">retiste </w:t>
      </w:r>
      <w:r>
        <w:rPr>
          <w:rFonts w:ascii="Titillium" w:hAnsi="Titillium" w:cs="Courier New"/>
          <w:sz w:val="18"/>
          <w:szCs w:val="18"/>
        </w:rPr>
        <w:t xml:space="preserve">non partecipanti all’aggregazione, le quali possono presentare offerta, per la medesima gara </w:t>
      </w:r>
      <w:r>
        <w:rPr>
          <w:rFonts w:ascii="Titillium" w:hAnsi="Titillium" w:cs="Calibri"/>
          <w:i/>
          <w:sz w:val="18"/>
          <w:szCs w:val="18"/>
        </w:rPr>
        <w:t>[in caso di suddivisione dell’appalto in lotti distinti sostituire “alla gara” con “al singolo lotto”]</w:t>
      </w:r>
      <w:r>
        <w:rPr>
          <w:rFonts w:ascii="Titillium" w:hAnsi="Titillium" w:cs="Courier New"/>
          <w:sz w:val="18"/>
          <w:szCs w:val="18"/>
        </w:rPr>
        <w:t>, in forma singola o associata;</w:t>
      </w:r>
    </w:p>
    <w:p w14:paraId="2C9BA2A0" w14:textId="77777777" w:rsidR="00276DF7" w:rsidRPr="00ED40D0" w:rsidRDefault="00276DF7" w:rsidP="00276DF7">
      <w:pPr>
        <w:pStyle w:val="Paragrafoelenco"/>
        <w:numPr>
          <w:ilvl w:val="0"/>
          <w:numId w:val="66"/>
        </w:numPr>
        <w:shd w:val="clear" w:color="auto" w:fill="F2F2F2" w:themeFill="background1" w:themeFillShade="F2"/>
        <w:spacing w:before="60" w:after="60"/>
        <w:rPr>
          <w:rFonts w:ascii="Titillium" w:hAnsi="Titillium" w:cs="Calibri"/>
          <w:sz w:val="18"/>
          <w:szCs w:val="18"/>
        </w:rPr>
      </w:pPr>
      <w:r w:rsidRPr="00ED40D0">
        <w:rPr>
          <w:rFonts w:ascii="Titillium" w:hAnsi="Titillium" w:cs="Courier New"/>
          <w:sz w:val="18"/>
          <w:szCs w:val="18"/>
        </w:rPr>
        <w:t>partecipazione di un consorzio che ha designato un consorziato esecutore il quale, a sua volta, partecipa in una qualsiasi altra forma</w:t>
      </w:r>
      <w:r>
        <w:rPr>
          <w:rFonts w:ascii="Titillium" w:hAnsi="Titillium" w:cs="Courier New"/>
          <w:sz w:val="18"/>
          <w:szCs w:val="18"/>
        </w:rPr>
        <w:t>.</w:t>
      </w:r>
    </w:p>
    <w:p w14:paraId="69BA953C"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Nel caso venga accertato quanto sopra, si provvede ad informare gli operatori economici coinvolti i quali possono, entro … </w:t>
      </w:r>
      <w:r w:rsidRPr="001F523C">
        <w:rPr>
          <w:rFonts w:ascii="Titillium" w:hAnsi="Titillium" w:cs="Calibri"/>
          <w:i/>
          <w:iCs/>
          <w:sz w:val="18"/>
          <w:szCs w:val="18"/>
        </w:rPr>
        <w:t>[indicare i giorni che verranno assegnati per la risp</w:t>
      </w:r>
      <w:r>
        <w:rPr>
          <w:rFonts w:ascii="Titillium" w:hAnsi="Titillium" w:cs="Calibri"/>
          <w:i/>
          <w:iCs/>
          <w:sz w:val="18"/>
          <w:szCs w:val="18"/>
        </w:rPr>
        <w:t>o</w:t>
      </w:r>
      <w:r w:rsidRPr="001F523C">
        <w:rPr>
          <w:rFonts w:ascii="Titillium" w:hAnsi="Titillium" w:cs="Calibri"/>
          <w:i/>
          <w:iCs/>
          <w:sz w:val="18"/>
          <w:szCs w:val="18"/>
        </w:rPr>
        <w:t>sta]</w:t>
      </w:r>
      <w:r>
        <w:rPr>
          <w:rFonts w:ascii="Titillium" w:hAnsi="Titillium" w:cs="Calibri"/>
          <w:i/>
          <w:iCs/>
          <w:sz w:val="18"/>
          <w:szCs w:val="18"/>
        </w:rPr>
        <w:t xml:space="preserve"> </w:t>
      </w:r>
      <w:r w:rsidRPr="00CF3E51">
        <w:rPr>
          <w:rFonts w:ascii="Titillium" w:hAnsi="Titillium" w:cs="Calibri"/>
          <w:sz w:val="18"/>
          <w:szCs w:val="18"/>
        </w:rPr>
        <w:t>giorni,</w:t>
      </w:r>
      <w:r>
        <w:rPr>
          <w:rFonts w:ascii="Titillium" w:hAnsi="Titillium" w:cs="Calibri"/>
          <w:sz w:val="18"/>
          <w:szCs w:val="18"/>
        </w:rPr>
        <w:t xml:space="preserve"> dimostrare </w:t>
      </w:r>
      <w:r w:rsidRPr="006F6FFB">
        <w:rPr>
          <w:rFonts w:ascii="Titillium" w:hAnsi="Titillium" w:cs="Courier New"/>
          <w:sz w:val="18"/>
          <w:szCs w:val="18"/>
        </w:rPr>
        <w:t>che la circostanza non ha influito sulla gara, né è idonea a incidere sulla capacità di rispettare gli obblighi contrattuali</w:t>
      </w:r>
      <w:r w:rsidRPr="00ED40D0">
        <w:rPr>
          <w:rFonts w:ascii="Titillium" w:hAnsi="Titillium" w:cs="Courier New"/>
          <w:sz w:val="18"/>
          <w:szCs w:val="18"/>
        </w:rPr>
        <w:t xml:space="preserve">. </w:t>
      </w:r>
    </w:p>
    <w:p w14:paraId="35FC1915" w14:textId="77777777" w:rsidR="00276DF7" w:rsidRDefault="00276DF7" w:rsidP="00276DF7">
      <w:pPr>
        <w:shd w:val="clear" w:color="auto" w:fill="F2F2F2" w:themeFill="background1" w:themeFillShade="F2"/>
        <w:spacing w:before="120" w:after="60"/>
        <w:rPr>
          <w:rFonts w:ascii="Titillium" w:hAnsi="Titillium"/>
          <w:b/>
          <w:i/>
          <w:sz w:val="18"/>
          <w:szCs w:val="18"/>
        </w:rPr>
      </w:pPr>
    </w:p>
    <w:p w14:paraId="235AFEE4" w14:textId="77777777" w:rsidR="00276DF7" w:rsidRPr="008A076D" w:rsidRDefault="00276DF7" w:rsidP="00276DF7">
      <w:pPr>
        <w:shd w:val="clear" w:color="auto" w:fill="F2F2F2" w:themeFill="background1" w:themeFillShade="F2"/>
        <w:spacing w:before="120" w:after="60"/>
        <w:rPr>
          <w:rFonts w:ascii="Titillium" w:hAnsi="Titillium"/>
          <w:b/>
          <w:i/>
          <w:sz w:val="18"/>
          <w:szCs w:val="18"/>
        </w:rPr>
      </w:pPr>
      <w:r w:rsidRPr="008A076D">
        <w:rPr>
          <w:rFonts w:ascii="Titillium" w:hAnsi="Titillium"/>
          <w:b/>
          <w:i/>
          <w:sz w:val="18"/>
          <w:szCs w:val="18"/>
        </w:rPr>
        <w:t>[Facoltativo</w:t>
      </w:r>
      <w:r>
        <w:rPr>
          <w:rFonts w:ascii="Titillium" w:hAnsi="Titillium"/>
          <w:b/>
          <w:i/>
          <w:sz w:val="18"/>
          <w:szCs w:val="18"/>
        </w:rPr>
        <w:t>,</w:t>
      </w:r>
      <w:r w:rsidRPr="007E2445">
        <w:rPr>
          <w:rFonts w:ascii="Titillium" w:hAnsi="Titillium" w:cs="Courier New"/>
          <w:b/>
          <w:bCs/>
          <w:i/>
          <w:iCs/>
          <w:sz w:val="18"/>
          <w:szCs w:val="18"/>
        </w:rPr>
        <w:t xml:space="preserve"> </w:t>
      </w:r>
      <w:r>
        <w:rPr>
          <w:rFonts w:ascii="Titillium" w:hAnsi="Titillium" w:cs="Courier New"/>
          <w:b/>
          <w:bCs/>
          <w:i/>
          <w:iCs/>
          <w:sz w:val="18"/>
          <w:szCs w:val="18"/>
        </w:rPr>
        <w:t>i</w:t>
      </w:r>
      <w:r w:rsidRPr="009863BB">
        <w:rPr>
          <w:rFonts w:ascii="Titillium" w:hAnsi="Titillium" w:cs="Courier New"/>
          <w:b/>
          <w:bCs/>
          <w:i/>
          <w:iCs/>
          <w:sz w:val="18"/>
          <w:szCs w:val="18"/>
        </w:rPr>
        <w:t>n caso di suddivisione in lotti</w:t>
      </w:r>
      <w:r w:rsidRPr="008A076D">
        <w:rPr>
          <w:rFonts w:ascii="Titillium" w:hAnsi="Titillium"/>
          <w:b/>
          <w:i/>
          <w:sz w:val="18"/>
          <w:szCs w:val="18"/>
        </w:rPr>
        <w:t>] Limitazione dell’aggiudicazione ad un numero massimo di lotti</w:t>
      </w:r>
    </w:p>
    <w:p w14:paraId="74F13682" w14:textId="77777777" w:rsidR="00276DF7" w:rsidRPr="008A076D" w:rsidRDefault="00276DF7" w:rsidP="00276DF7">
      <w:pPr>
        <w:shd w:val="clear" w:color="auto" w:fill="F2F2F2" w:themeFill="background1" w:themeFillShade="F2"/>
        <w:spacing w:before="60" w:after="60"/>
        <w:rPr>
          <w:rFonts w:ascii="Titillium" w:hAnsi="Titillium"/>
          <w:i/>
          <w:sz w:val="18"/>
          <w:szCs w:val="18"/>
        </w:rPr>
      </w:pPr>
      <w:r w:rsidRPr="008A076D">
        <w:rPr>
          <w:rFonts w:ascii="Titillium" w:hAnsi="Titillium"/>
          <w:sz w:val="18"/>
          <w:szCs w:val="18"/>
        </w:rPr>
        <w:t xml:space="preserve">Nel caso in cui un concorrente risulti primo in graduatoria per più lotti, al medesimo potranno essere aggiudicati fino ad un massimo di n. ... </w:t>
      </w:r>
      <w:r w:rsidRPr="008A076D">
        <w:rPr>
          <w:rFonts w:ascii="Titillium" w:hAnsi="Titillium"/>
          <w:i/>
          <w:sz w:val="18"/>
          <w:szCs w:val="18"/>
        </w:rPr>
        <w:t>[inserire numero massimo di lotti aggiudicabili]</w:t>
      </w:r>
      <w:r w:rsidRPr="008A076D">
        <w:rPr>
          <w:rFonts w:ascii="Titillium" w:hAnsi="Titillium"/>
          <w:sz w:val="18"/>
          <w:szCs w:val="18"/>
        </w:rPr>
        <w:t xml:space="preserve">, lotti che saranno individuati sulla base del criterio … </w:t>
      </w:r>
      <w:r w:rsidRPr="008A076D">
        <w:rPr>
          <w:rFonts w:ascii="Titillium" w:hAnsi="Titillium"/>
          <w:i/>
          <w:sz w:val="18"/>
          <w:szCs w:val="18"/>
        </w:rPr>
        <w:t xml:space="preserve">[la stazione appaltante definisce il criterio, che deve essere oggettivo e non discriminatorio, per determinare quali lotti saranno aggiudicati]. </w:t>
      </w:r>
    </w:p>
    <w:p w14:paraId="64C51694"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Tale limitazione è stata imposta</w:t>
      </w:r>
      <w:r w:rsidRPr="008A076D">
        <w:rPr>
          <w:rFonts w:ascii="Titillium" w:hAnsi="Titillium"/>
          <w:sz w:val="18"/>
          <w:szCs w:val="18"/>
        </w:rPr>
        <w:t xml:space="preserve"> perché …. </w:t>
      </w:r>
      <w:r w:rsidRPr="008A076D">
        <w:rPr>
          <w:rFonts w:ascii="Titillium" w:hAnsi="Titillium"/>
          <w:i/>
          <w:iCs/>
          <w:sz w:val="18"/>
          <w:szCs w:val="18"/>
        </w:rPr>
        <w:t>[Indicare le ragioni della scelta</w:t>
      </w:r>
      <w:r>
        <w:rPr>
          <w:rFonts w:ascii="Titillium" w:hAnsi="Titillium"/>
          <w:i/>
          <w:iCs/>
          <w:sz w:val="18"/>
          <w:szCs w:val="18"/>
        </w:rPr>
        <w:t xml:space="preserve"> ai </w:t>
      </w:r>
      <w:r w:rsidRPr="003E70DE">
        <w:rPr>
          <w:rFonts w:ascii="Titillium" w:hAnsi="Titillium"/>
          <w:i/>
          <w:iCs/>
          <w:sz w:val="18"/>
          <w:szCs w:val="18"/>
        </w:rPr>
        <w:t>sensi dell’art</w:t>
      </w:r>
      <w:r>
        <w:rPr>
          <w:rFonts w:ascii="Titillium" w:hAnsi="Titillium"/>
          <w:i/>
          <w:iCs/>
          <w:sz w:val="18"/>
          <w:szCs w:val="18"/>
        </w:rPr>
        <w:t>icolo</w:t>
      </w:r>
      <w:r w:rsidRPr="003E70DE">
        <w:rPr>
          <w:rFonts w:ascii="Titillium" w:hAnsi="Titillium"/>
          <w:i/>
          <w:iCs/>
          <w:sz w:val="18"/>
          <w:szCs w:val="18"/>
        </w:rPr>
        <w:t xml:space="preserve"> 58</w:t>
      </w:r>
      <w:r>
        <w:rPr>
          <w:rFonts w:ascii="Titillium" w:hAnsi="Titillium"/>
          <w:i/>
          <w:iCs/>
          <w:sz w:val="18"/>
          <w:szCs w:val="18"/>
        </w:rPr>
        <w:t xml:space="preserve"> del Codice</w:t>
      </w:r>
      <w:r w:rsidRPr="003E70DE">
        <w:rPr>
          <w:rFonts w:ascii="Titillium" w:hAnsi="Titillium"/>
          <w:i/>
          <w:iCs/>
          <w:sz w:val="18"/>
          <w:szCs w:val="18"/>
        </w:rPr>
        <w:t>]</w:t>
      </w:r>
    </w:p>
    <w:p w14:paraId="7800279E" w14:textId="77777777" w:rsidR="00276DF7" w:rsidRDefault="00276DF7" w:rsidP="00276DF7">
      <w:pPr>
        <w:shd w:val="clear" w:color="auto" w:fill="F2F2F2" w:themeFill="background1" w:themeFillShade="F2"/>
        <w:spacing w:before="60" w:after="60"/>
        <w:rPr>
          <w:rFonts w:ascii="Titillium" w:hAnsi="Titillium" w:cs="Courier New"/>
          <w:b/>
          <w:bCs/>
          <w:i/>
          <w:iCs/>
          <w:sz w:val="18"/>
          <w:szCs w:val="18"/>
        </w:rPr>
      </w:pPr>
    </w:p>
    <w:p w14:paraId="38FCE244" w14:textId="77777777" w:rsidR="00276DF7" w:rsidRPr="008A076D" w:rsidRDefault="00276DF7" w:rsidP="00276DF7">
      <w:pPr>
        <w:shd w:val="clear" w:color="auto" w:fill="F2F2F2" w:themeFill="background1" w:themeFillShade="F2"/>
        <w:spacing w:before="60" w:after="60"/>
      </w:pPr>
      <w:r w:rsidRPr="009863BB">
        <w:rPr>
          <w:rFonts w:ascii="Titillium" w:hAnsi="Titillium" w:cs="Courier New"/>
          <w:b/>
          <w:bCs/>
          <w:i/>
          <w:iCs/>
          <w:sz w:val="18"/>
          <w:szCs w:val="18"/>
        </w:rPr>
        <w:t>[</w:t>
      </w:r>
      <w:r>
        <w:rPr>
          <w:rFonts w:ascii="Titillium" w:hAnsi="Titillium" w:cs="Courier New"/>
          <w:b/>
          <w:bCs/>
          <w:i/>
          <w:iCs/>
          <w:sz w:val="18"/>
          <w:szCs w:val="18"/>
        </w:rPr>
        <w:t>Facoltativo</w:t>
      </w:r>
      <w:r w:rsidRPr="009863BB">
        <w:rPr>
          <w:rFonts w:ascii="Titillium" w:hAnsi="Titillium" w:cs="Courier New"/>
          <w:b/>
          <w:bCs/>
          <w:i/>
          <w:iCs/>
          <w:sz w:val="18"/>
          <w:szCs w:val="18"/>
        </w:rPr>
        <w:t>]</w:t>
      </w:r>
      <w:r w:rsidRPr="008A076D">
        <w:rPr>
          <w:rFonts w:ascii="Titillium" w:hAnsi="Titillium"/>
          <w:b/>
          <w:i/>
          <w:sz w:val="18"/>
          <w:szCs w:val="18"/>
        </w:rPr>
        <w:t xml:space="preserve"> Limitazione della partecipazione ad un numero massimo di lotti</w:t>
      </w:r>
    </w:p>
    <w:p w14:paraId="58812CEF" w14:textId="77777777" w:rsidR="00276DF7" w:rsidRPr="008A076D" w:rsidRDefault="00276DF7" w:rsidP="00276DF7">
      <w:pPr>
        <w:shd w:val="clear" w:color="auto" w:fill="F2F2F2" w:themeFill="background1" w:themeFillShade="F2"/>
        <w:spacing w:before="60" w:after="60"/>
        <w:rPr>
          <w:rFonts w:ascii="Titillium" w:hAnsi="Titillium"/>
          <w:i/>
          <w:sz w:val="18"/>
          <w:szCs w:val="18"/>
        </w:rPr>
      </w:pPr>
      <w:r w:rsidRPr="008A076D">
        <w:rPr>
          <w:rFonts w:ascii="Titillium" w:hAnsi="Titillium"/>
          <w:sz w:val="18"/>
          <w:szCs w:val="18"/>
          <w:lang w:eastAsia="it-IT"/>
        </w:rPr>
        <w:t>Ciascun concorrente può presentare</w:t>
      </w:r>
      <w:r w:rsidRPr="008A076D">
        <w:rPr>
          <w:rFonts w:ascii="Titillium" w:hAnsi="Titillium"/>
          <w:sz w:val="18"/>
          <w:szCs w:val="18"/>
        </w:rPr>
        <w:t xml:space="preserve"> offerta per un numero massimo di … </w:t>
      </w:r>
      <w:r w:rsidRPr="008A076D">
        <w:rPr>
          <w:rFonts w:ascii="Titillium" w:hAnsi="Titillium"/>
          <w:i/>
          <w:sz w:val="18"/>
          <w:szCs w:val="18"/>
        </w:rPr>
        <w:t xml:space="preserve">[inserire il numero massimo di lotti a cui si può partecipare] </w:t>
      </w:r>
      <w:r w:rsidRPr="008A076D">
        <w:rPr>
          <w:rFonts w:ascii="Titillium" w:hAnsi="Titillium"/>
          <w:sz w:val="18"/>
          <w:szCs w:val="18"/>
        </w:rPr>
        <w:t xml:space="preserve">lotti. In caso di partecipazione ad un numero maggiore di lotti rispetto a quanto consentito, la domanda si considera presentata per </w:t>
      </w:r>
      <w:r w:rsidRPr="008A076D">
        <w:rPr>
          <w:rFonts w:ascii="Titillium" w:hAnsi="Titillium"/>
          <w:i/>
          <w:sz w:val="18"/>
          <w:szCs w:val="18"/>
        </w:rPr>
        <w:t>… [indicare il criterio per la individuazione dei lotti ai quali riferire la domanda di partecipazione, per esempio i lotti di maggiore valore economico].</w:t>
      </w:r>
    </w:p>
    <w:p w14:paraId="6EA5ABAE"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Tale limitazione è stata imposta</w:t>
      </w:r>
      <w:r w:rsidRPr="008A076D">
        <w:rPr>
          <w:rFonts w:ascii="Titillium" w:hAnsi="Titillium"/>
          <w:sz w:val="18"/>
          <w:szCs w:val="18"/>
        </w:rPr>
        <w:t xml:space="preserve"> perché …. </w:t>
      </w:r>
      <w:r w:rsidRPr="008A076D">
        <w:rPr>
          <w:rFonts w:ascii="Titillium" w:hAnsi="Titillium"/>
          <w:i/>
          <w:iCs/>
          <w:sz w:val="18"/>
          <w:szCs w:val="18"/>
        </w:rPr>
        <w:t>[Indicare le ragioni della scelta</w:t>
      </w:r>
      <w:r>
        <w:rPr>
          <w:rFonts w:ascii="Titillium" w:hAnsi="Titillium"/>
          <w:i/>
          <w:iCs/>
          <w:sz w:val="18"/>
          <w:szCs w:val="18"/>
        </w:rPr>
        <w:t xml:space="preserve"> ai </w:t>
      </w:r>
      <w:r w:rsidRPr="003E70DE">
        <w:rPr>
          <w:rFonts w:ascii="Titillium" w:hAnsi="Titillium"/>
          <w:i/>
          <w:iCs/>
          <w:sz w:val="18"/>
          <w:szCs w:val="18"/>
        </w:rPr>
        <w:t>sensi dell’art</w:t>
      </w:r>
      <w:r>
        <w:rPr>
          <w:rFonts w:ascii="Titillium" w:hAnsi="Titillium"/>
          <w:i/>
          <w:iCs/>
          <w:sz w:val="18"/>
          <w:szCs w:val="18"/>
        </w:rPr>
        <w:t>icolo</w:t>
      </w:r>
      <w:r w:rsidRPr="003E70DE">
        <w:rPr>
          <w:rFonts w:ascii="Titillium" w:hAnsi="Titillium"/>
          <w:i/>
          <w:iCs/>
          <w:sz w:val="18"/>
          <w:szCs w:val="18"/>
        </w:rPr>
        <w:t xml:space="preserve"> 58</w:t>
      </w:r>
      <w:r>
        <w:rPr>
          <w:rFonts w:ascii="Titillium" w:hAnsi="Titillium"/>
          <w:i/>
          <w:iCs/>
          <w:sz w:val="18"/>
          <w:szCs w:val="18"/>
        </w:rPr>
        <w:t xml:space="preserve"> del Codice</w:t>
      </w:r>
      <w:r w:rsidRPr="003E70DE">
        <w:rPr>
          <w:rFonts w:ascii="Titillium" w:hAnsi="Titillium"/>
          <w:i/>
          <w:iCs/>
          <w:sz w:val="18"/>
          <w:szCs w:val="18"/>
        </w:rPr>
        <w:t>]</w:t>
      </w:r>
    </w:p>
    <w:p w14:paraId="64B830C3" w14:textId="77777777" w:rsidR="00276DF7" w:rsidRDefault="00276DF7" w:rsidP="00276DF7">
      <w:pPr>
        <w:shd w:val="clear" w:color="auto" w:fill="F2F2F2" w:themeFill="background1" w:themeFillShade="F2"/>
        <w:spacing w:before="60" w:after="60"/>
        <w:rPr>
          <w:rFonts w:ascii="Titillium" w:hAnsi="Titillium"/>
          <w:sz w:val="18"/>
          <w:szCs w:val="18"/>
          <w:highlight w:val="yellow"/>
        </w:rPr>
      </w:pPr>
    </w:p>
    <w:p w14:paraId="0933A11A" w14:textId="77777777" w:rsidR="00276DF7" w:rsidRPr="00164600" w:rsidRDefault="00276DF7" w:rsidP="00276DF7">
      <w:pPr>
        <w:shd w:val="clear" w:color="auto" w:fill="F2F2F2" w:themeFill="background1" w:themeFillShade="F2"/>
        <w:spacing w:before="60" w:after="60"/>
        <w:rPr>
          <w:rFonts w:ascii="Titillium" w:hAnsi="Titillium"/>
          <w:i/>
          <w:iCs/>
          <w:sz w:val="18"/>
          <w:szCs w:val="18"/>
        </w:rPr>
      </w:pPr>
      <w:r w:rsidRPr="007E57B8">
        <w:rPr>
          <w:rFonts w:ascii="Titillium" w:hAnsi="Titillium"/>
          <w:sz w:val="18"/>
          <w:szCs w:val="18"/>
        </w:rPr>
        <w:t>Ai fini del conteggio del numero massimo dei lotti che possono essere aggiudicati</w:t>
      </w:r>
      <w:r>
        <w:rPr>
          <w:rFonts w:ascii="Titillium" w:hAnsi="Titillium"/>
          <w:sz w:val="18"/>
          <w:szCs w:val="18"/>
        </w:rPr>
        <w:t>/a cui si può partecipare</w:t>
      </w:r>
      <w:r w:rsidRPr="007E57B8">
        <w:rPr>
          <w:rFonts w:ascii="Titillium" w:hAnsi="Titillium"/>
          <w:sz w:val="18"/>
          <w:szCs w:val="18"/>
        </w:rPr>
        <w:t xml:space="preserve">, si tiene conto …. </w:t>
      </w:r>
      <w:r w:rsidRPr="007E57B8">
        <w:rPr>
          <w:rFonts w:ascii="Titillium" w:hAnsi="Titillium"/>
          <w:i/>
          <w:iCs/>
          <w:sz w:val="18"/>
          <w:szCs w:val="18"/>
        </w:rPr>
        <w:t>[la stazione appaltante</w:t>
      </w:r>
      <w:r w:rsidRPr="00164600">
        <w:rPr>
          <w:rFonts w:ascii="Titillium" w:hAnsi="Titillium"/>
          <w:i/>
          <w:iCs/>
          <w:sz w:val="18"/>
          <w:szCs w:val="18"/>
        </w:rPr>
        <w:t xml:space="preserve"> </w:t>
      </w:r>
      <w:r>
        <w:rPr>
          <w:rFonts w:ascii="Titillium" w:hAnsi="Titillium"/>
          <w:i/>
          <w:iCs/>
          <w:sz w:val="18"/>
          <w:szCs w:val="18"/>
        </w:rPr>
        <w:t>individua</w:t>
      </w:r>
      <w:r w:rsidRPr="00164600">
        <w:rPr>
          <w:rFonts w:ascii="Titillium" w:hAnsi="Titillium"/>
          <w:i/>
          <w:iCs/>
          <w:sz w:val="18"/>
          <w:szCs w:val="18"/>
        </w:rPr>
        <w:t xml:space="preserve"> quan</w:t>
      </w:r>
      <w:r>
        <w:rPr>
          <w:rFonts w:ascii="Titillium" w:hAnsi="Titillium"/>
          <w:i/>
          <w:iCs/>
          <w:sz w:val="18"/>
          <w:szCs w:val="18"/>
        </w:rPr>
        <w:t>d</w:t>
      </w:r>
      <w:r w:rsidRPr="00164600">
        <w:rPr>
          <w:rFonts w:ascii="Titillium" w:hAnsi="Titillium"/>
          <w:i/>
          <w:iCs/>
          <w:sz w:val="18"/>
          <w:szCs w:val="18"/>
        </w:rPr>
        <w:t>o gli operatori economici che partecipano in diverse forme possano essere considerati “</w:t>
      </w:r>
      <w:r>
        <w:rPr>
          <w:rFonts w:ascii="Titillium" w:hAnsi="Titillium"/>
          <w:i/>
          <w:iCs/>
          <w:sz w:val="18"/>
          <w:szCs w:val="18"/>
        </w:rPr>
        <w:t xml:space="preserve">il medesimo </w:t>
      </w:r>
      <w:r w:rsidRPr="00164600">
        <w:rPr>
          <w:rFonts w:ascii="Titillium" w:hAnsi="Titillium"/>
          <w:i/>
          <w:iCs/>
          <w:sz w:val="18"/>
          <w:szCs w:val="18"/>
        </w:rPr>
        <w:t>concorrente”</w:t>
      </w:r>
      <w:r>
        <w:rPr>
          <w:rFonts w:ascii="Titillium" w:hAnsi="Titillium"/>
          <w:i/>
          <w:iCs/>
          <w:sz w:val="18"/>
          <w:szCs w:val="18"/>
        </w:rPr>
        <w:t xml:space="preserve"> (ad esempio con riferimento alle gare </w:t>
      </w:r>
      <w:r w:rsidRPr="006266B8">
        <w:rPr>
          <w:rFonts w:ascii="Titillium" w:hAnsi="Titillium"/>
          <w:i/>
          <w:iCs/>
          <w:sz w:val="18"/>
          <w:szCs w:val="18"/>
        </w:rPr>
        <w:t>ad oggetto plurimo o unitario</w:t>
      </w:r>
      <w:r>
        <w:rPr>
          <w:rFonts w:ascii="Titillium" w:hAnsi="Titillium"/>
          <w:i/>
          <w:iCs/>
          <w:sz w:val="18"/>
          <w:szCs w:val="18"/>
        </w:rPr>
        <w:t xml:space="preserve">) e specifica se ha deciso di limitare la partecipazione di più concorrenti </w:t>
      </w:r>
      <w:r w:rsidRPr="00482FC8">
        <w:rPr>
          <w:rFonts w:ascii="Titillium" w:hAnsi="Titillium"/>
          <w:i/>
          <w:iCs/>
          <w:sz w:val="18"/>
          <w:szCs w:val="18"/>
        </w:rPr>
        <w:t>che versino in situazioni di controllo o collegamento ai sensi dell’articolo 2359 del Codice civile</w:t>
      </w:r>
      <w:r>
        <w:rPr>
          <w:rFonts w:ascii="Titillium" w:hAnsi="Titillium"/>
          <w:i/>
          <w:iCs/>
          <w:sz w:val="18"/>
          <w:szCs w:val="18"/>
        </w:rPr>
        <w:t xml:space="preserve">] </w:t>
      </w:r>
    </w:p>
    <w:p w14:paraId="1CB82A61" w14:textId="77777777" w:rsidR="00276DF7" w:rsidRDefault="00276DF7" w:rsidP="00276DF7">
      <w:pPr>
        <w:shd w:val="clear" w:color="auto" w:fill="F2F2F2" w:themeFill="background1" w:themeFillShade="F2"/>
        <w:spacing w:before="60" w:after="60"/>
        <w:rPr>
          <w:rFonts w:ascii="Titillium" w:hAnsi="Titillium" w:cs="Calibri"/>
          <w:b/>
          <w:i/>
          <w:sz w:val="18"/>
          <w:szCs w:val="18"/>
        </w:rPr>
      </w:pPr>
    </w:p>
    <w:p w14:paraId="603E8D19" w14:textId="77777777" w:rsidR="00276DF7" w:rsidRPr="008A076D" w:rsidRDefault="00276DF7" w:rsidP="00276DF7">
      <w:pPr>
        <w:shd w:val="clear" w:color="auto" w:fill="F2F2F2" w:themeFill="background1" w:themeFillShade="F2"/>
        <w:spacing w:before="60" w:after="60"/>
        <w:rPr>
          <w:rFonts w:ascii="Titillium" w:hAnsi="Titillium"/>
          <w:b/>
          <w:i/>
          <w:sz w:val="18"/>
          <w:szCs w:val="18"/>
        </w:rPr>
      </w:pPr>
      <w:r w:rsidRPr="008A076D">
        <w:rPr>
          <w:rFonts w:ascii="Titillium" w:hAnsi="Titillium"/>
          <w:b/>
          <w:i/>
          <w:sz w:val="18"/>
          <w:szCs w:val="18"/>
        </w:rPr>
        <w:t>[Facoltativo] Associazione di lotti al medesimo offerente</w:t>
      </w:r>
    </w:p>
    <w:p w14:paraId="5AB7EB52" w14:textId="77777777" w:rsidR="00276DF7" w:rsidRDefault="00276DF7" w:rsidP="00276DF7">
      <w:pPr>
        <w:shd w:val="clear" w:color="auto" w:fill="F2F2F2" w:themeFill="background1" w:themeFillShade="F2"/>
        <w:spacing w:before="60" w:after="60"/>
        <w:rPr>
          <w:rFonts w:ascii="Titillium" w:hAnsi="Titillium"/>
          <w:i/>
          <w:sz w:val="18"/>
          <w:szCs w:val="18"/>
        </w:rPr>
      </w:pPr>
      <w:r w:rsidRPr="008A076D">
        <w:rPr>
          <w:rFonts w:ascii="Titillium" w:hAnsi="Titillium"/>
          <w:sz w:val="18"/>
          <w:szCs w:val="18"/>
        </w:rPr>
        <w:t xml:space="preserve">La stazione appaltante si riserva la facoltà di aggiudicare in forma associata i lotti n. </w:t>
      </w:r>
      <w:r>
        <w:rPr>
          <w:rFonts w:ascii="Titillium" w:hAnsi="Titillium"/>
          <w:sz w:val="18"/>
          <w:szCs w:val="18"/>
        </w:rPr>
        <w:t>…</w:t>
      </w:r>
      <w:r w:rsidRPr="008A076D">
        <w:rPr>
          <w:rFonts w:ascii="Titillium" w:hAnsi="Titillium"/>
          <w:i/>
          <w:sz w:val="18"/>
          <w:szCs w:val="18"/>
        </w:rPr>
        <w:t xml:space="preserve"> [indicare i lotti specifici]</w:t>
      </w:r>
      <w:r w:rsidRPr="008A076D">
        <w:rPr>
          <w:rFonts w:ascii="Titillium" w:hAnsi="Titillium"/>
          <w:sz w:val="18"/>
          <w:szCs w:val="18"/>
        </w:rPr>
        <w:t xml:space="preserve"> al medesimo offerente. La modalità mediante cui effettuare la valutazione comparativa tra le offerte sui singoli lotti e le offerte sulle associazioni di lotti è la seguente: </w:t>
      </w:r>
      <w:r>
        <w:rPr>
          <w:rFonts w:ascii="Titillium" w:hAnsi="Titillium"/>
          <w:sz w:val="18"/>
          <w:szCs w:val="18"/>
        </w:rPr>
        <w:t>…</w:t>
      </w:r>
      <w:r w:rsidRPr="008A076D">
        <w:rPr>
          <w:rFonts w:ascii="Titillium" w:hAnsi="Titillium"/>
          <w:i/>
          <w:sz w:val="18"/>
          <w:szCs w:val="18"/>
        </w:rPr>
        <w:t xml:space="preserve"> [indicare il criterio mediante cui effettuare la valutazione comparativa].</w:t>
      </w:r>
    </w:p>
    <w:p w14:paraId="5CCB9090" w14:textId="77777777" w:rsidR="00276DF7" w:rsidRDefault="00276DF7" w:rsidP="00276DF7">
      <w:pPr>
        <w:shd w:val="clear" w:color="auto" w:fill="F2F2F2" w:themeFill="background1" w:themeFillShade="F2"/>
        <w:spacing w:before="60" w:after="60"/>
        <w:rPr>
          <w:rFonts w:ascii="Titillium" w:hAnsi="Titillium" w:cs="Calibri"/>
          <w:b/>
          <w:i/>
          <w:sz w:val="18"/>
          <w:szCs w:val="18"/>
        </w:rPr>
      </w:pPr>
    </w:p>
    <w:p w14:paraId="0875D41C" w14:textId="77777777" w:rsidR="00276DF7" w:rsidRDefault="00276DF7" w:rsidP="00276DF7">
      <w:pPr>
        <w:shd w:val="clear" w:color="auto" w:fill="F2F2F2" w:themeFill="background1" w:themeFillShade="F2"/>
        <w:spacing w:before="60" w:after="60"/>
        <w:rPr>
          <w:rFonts w:ascii="Titillium" w:hAnsi="Titillium" w:cs="Courier New"/>
          <w:sz w:val="18"/>
          <w:szCs w:val="18"/>
        </w:rPr>
      </w:pPr>
      <w:r>
        <w:rPr>
          <w:rFonts w:ascii="Titillium" w:hAnsi="Titillium" w:cs="Courier New"/>
          <w:sz w:val="18"/>
          <w:szCs w:val="18"/>
        </w:rPr>
        <w:t xml:space="preserve">Le aggregazioni di retisti di cui all’articolo </w:t>
      </w:r>
      <w:r w:rsidRPr="003E70DE">
        <w:rPr>
          <w:rFonts w:ascii="Titillium" w:hAnsi="Titillium" w:cs="Courier New"/>
          <w:sz w:val="18"/>
          <w:szCs w:val="18"/>
        </w:rPr>
        <w:t>65, comma 2</w:t>
      </w:r>
      <w:r>
        <w:rPr>
          <w:rFonts w:ascii="Titillium" w:hAnsi="Titillium" w:cs="Courier New"/>
          <w:sz w:val="18"/>
          <w:szCs w:val="18"/>
        </w:rPr>
        <w:t>,</w:t>
      </w:r>
      <w:r w:rsidRPr="003E70DE">
        <w:rPr>
          <w:rFonts w:ascii="Titillium" w:hAnsi="Titillium" w:cs="Courier New"/>
          <w:sz w:val="18"/>
          <w:szCs w:val="18"/>
        </w:rPr>
        <w:t xml:space="preserve"> lettera g)</w:t>
      </w:r>
      <w:r>
        <w:rPr>
          <w:rFonts w:ascii="Titillium" w:hAnsi="Titillium" w:cs="Courier New"/>
          <w:sz w:val="18"/>
          <w:szCs w:val="18"/>
        </w:rPr>
        <w:t xml:space="preserve"> del Codice, rispettano la disciplina prevista per i raggruppamenti temporanei in quanto compatibile. In particolare:</w:t>
      </w:r>
    </w:p>
    <w:p w14:paraId="2B56E9F3" w14:textId="77777777" w:rsidR="00276DF7" w:rsidRDefault="00276DF7" w:rsidP="00276DF7">
      <w:pPr>
        <w:pStyle w:val="Paragrafoelenco"/>
        <w:numPr>
          <w:ilvl w:val="3"/>
          <w:numId w:val="21"/>
        </w:numPr>
        <w:shd w:val="clear" w:color="auto" w:fill="F2F2F2" w:themeFill="background1" w:themeFillShade="F2"/>
        <w:spacing w:before="60" w:after="60"/>
        <w:ind w:left="567" w:hanging="284"/>
        <w:rPr>
          <w:rFonts w:ascii="Titillium" w:hAnsi="Titillium" w:cs="Courier New"/>
          <w:sz w:val="18"/>
          <w:szCs w:val="18"/>
        </w:rPr>
      </w:pPr>
      <w:r>
        <w:rPr>
          <w:rFonts w:ascii="Titillium" w:hAnsi="Titillium" w:cs="Courier New"/>
          <w:sz w:val="18"/>
          <w:szCs w:val="18"/>
        </w:rPr>
        <w:t>nel caso in cui la rete sia dotata di organo comune con potere di rappresentanza e soggettività giuridica (cd. Rete – soggetto), l’aggregazione di retisti partecipa a mezzo dell’organo comune, che assume il ruolo del mandatario, qualora in possesso dei relativi requisiti. L’organo comune può indicare anche solo alcuni tra i retisti per la partecipazione alla gara ma deve obbligatoriamente far parte di questi;</w:t>
      </w:r>
    </w:p>
    <w:p w14:paraId="4059D676" w14:textId="77777777" w:rsidR="00276DF7" w:rsidRDefault="00276DF7" w:rsidP="00276DF7">
      <w:pPr>
        <w:pStyle w:val="Paragrafoelenco"/>
        <w:numPr>
          <w:ilvl w:val="3"/>
          <w:numId w:val="21"/>
        </w:numPr>
        <w:shd w:val="clear" w:color="auto" w:fill="F2F2F2" w:themeFill="background1" w:themeFillShade="F2"/>
        <w:spacing w:before="60" w:after="60"/>
        <w:ind w:left="567" w:hanging="284"/>
        <w:rPr>
          <w:rFonts w:ascii="Titillium" w:hAnsi="Titillium" w:cs="Courier New"/>
          <w:sz w:val="18"/>
          <w:szCs w:val="18"/>
        </w:rPr>
      </w:pPr>
      <w:r>
        <w:rPr>
          <w:rFonts w:ascii="Titillium" w:hAnsi="Titillium" w:cs="Courier New"/>
          <w:sz w:val="18"/>
          <w:szCs w:val="18"/>
        </w:rPr>
        <w:t xml:space="preserve">nel caso in cui la rete sia dotata di organo comune con potere di rappresentanza ma priva di soggettività giuridica (cd. Rete – contratto), l’aggregazione di retisti partecipa a mezzo dell’organo comune, che assume il ruolo del mandatario, qualora in possesso dei requisiti previsti per la mandataria e qualora il contratto di rete rechi mandato allo stesso a presentare domanda di partecipazione o offerta per determinate tipologie di procedure di gara. L’organo comune può indicare anche solo alcuni tra i retisti per la partecipazione alla gara ma deve obbligatoriamente far parte di questi; </w:t>
      </w:r>
    </w:p>
    <w:p w14:paraId="518535C6" w14:textId="77777777" w:rsidR="00276DF7" w:rsidRDefault="00276DF7" w:rsidP="00276DF7">
      <w:pPr>
        <w:pStyle w:val="Paragrafoelenco"/>
        <w:numPr>
          <w:ilvl w:val="3"/>
          <w:numId w:val="21"/>
        </w:numPr>
        <w:shd w:val="clear" w:color="auto" w:fill="F2F2F2" w:themeFill="background1" w:themeFillShade="F2"/>
        <w:spacing w:before="60" w:after="60"/>
        <w:ind w:left="567" w:hanging="284"/>
        <w:rPr>
          <w:rFonts w:ascii="Titillium" w:hAnsi="Titillium" w:cs="Courier New"/>
          <w:sz w:val="18"/>
          <w:szCs w:val="18"/>
        </w:rPr>
      </w:pPr>
      <w:r>
        <w:rPr>
          <w:rFonts w:ascii="Titillium" w:hAnsi="Titillium" w:cs="Courier New"/>
          <w:sz w:val="18"/>
          <w:szCs w:val="18"/>
        </w:rPr>
        <w:t>nel caso in cui la rete sia dotata di organo comune privo di potere di rappresentanza ovvero sia sprovvista di organo comune, oppure se l’organo comune è privo dei requisiti di qualificazione, l’aggregazione di retisti partecipa nella forma del raggruppamento costituito o costituendo, con applicazione integrale delle relative regole.</w:t>
      </w:r>
    </w:p>
    <w:p w14:paraId="7E6CBCA6" w14:textId="77777777" w:rsidR="00276DF7" w:rsidRDefault="00276DF7" w:rsidP="00276DF7">
      <w:pPr>
        <w:shd w:val="clear" w:color="auto" w:fill="F2F2F2" w:themeFill="background1" w:themeFillShade="F2"/>
        <w:spacing w:before="60" w:after="60"/>
      </w:pPr>
      <w:r w:rsidRPr="00E7138C">
        <w:rPr>
          <w:rFonts w:ascii="Titillium" w:hAnsi="Titillium" w:cs="Courier New"/>
          <w:sz w:val="18"/>
          <w:szCs w:val="18"/>
        </w:rPr>
        <w:t>Per tutte le tipologie di rete,</w:t>
      </w:r>
      <w:r>
        <w:rPr>
          <w:rFonts w:ascii="Titillium" w:hAnsi="Titillium" w:cs="Courier New"/>
          <w:sz w:val="18"/>
          <w:szCs w:val="18"/>
        </w:rPr>
        <w:t xml:space="preserve"> la partecipazione congiunta alle gare deve risultare individuata nel contratto di rete come uno degli scopi strategici inclusi nel programma comune, mentre la durata dello stesso dovrà essere commisurata ai tempi di realizzazione dell’appalto.</w:t>
      </w:r>
    </w:p>
    <w:p w14:paraId="2C8E36B3" w14:textId="77777777" w:rsidR="00276DF7" w:rsidRDefault="00276DF7" w:rsidP="00276DF7">
      <w:pPr>
        <w:shd w:val="clear" w:color="auto" w:fill="F2F2F2" w:themeFill="background1" w:themeFillShade="F2"/>
        <w:spacing w:before="60" w:after="60"/>
        <w:rPr>
          <w:rFonts w:ascii="Titillium" w:hAnsi="Titillium" w:cs="Courier New"/>
          <w:sz w:val="18"/>
          <w:szCs w:val="18"/>
        </w:rPr>
      </w:pPr>
      <w:r w:rsidRPr="00020DDD">
        <w:rPr>
          <w:rFonts w:ascii="Titillium" w:hAnsi="Titillium" w:cs="Courier New"/>
          <w:sz w:val="18"/>
          <w:szCs w:val="18"/>
        </w:rPr>
        <w:t xml:space="preserve">Ad un raggruppamento temporaneo può partecipare anche un consorzio di cui all’articolo 65, comma </w:t>
      </w:r>
      <w:r>
        <w:rPr>
          <w:rFonts w:ascii="Titillium" w:hAnsi="Titillium" w:cs="Courier New"/>
          <w:sz w:val="18"/>
          <w:szCs w:val="18"/>
        </w:rPr>
        <w:t>2</w:t>
      </w:r>
      <w:r w:rsidRPr="00020DDD">
        <w:rPr>
          <w:rFonts w:ascii="Titillium" w:hAnsi="Titillium" w:cs="Courier New"/>
          <w:sz w:val="18"/>
          <w:szCs w:val="18"/>
        </w:rPr>
        <w:t>, lettera b), c), d).</w:t>
      </w:r>
    </w:p>
    <w:p w14:paraId="66D53762" w14:textId="77777777" w:rsidR="00276DF7" w:rsidRDefault="00276DF7" w:rsidP="00276DF7">
      <w:pPr>
        <w:shd w:val="clear" w:color="auto" w:fill="F2F2F2" w:themeFill="background1" w:themeFillShade="F2"/>
        <w:spacing w:before="60" w:after="60"/>
      </w:pPr>
      <w:r w:rsidRPr="005905F3">
        <w:rPr>
          <w:rFonts w:ascii="Titillium" w:hAnsi="Titillium" w:cs="Courier New"/>
          <w:sz w:val="18"/>
          <w:szCs w:val="18"/>
        </w:rPr>
        <w:t>L’impresa in concordato preventivo può concorrere anche riunita in raggruppamento temporaneo di imprese e sempre che le altre imprese aderenti al raggruppamento temporaneo di imprese non siano assoggettate ad una procedura concorsuale.</w:t>
      </w:r>
      <w:r>
        <w:rPr>
          <w:rFonts w:ascii="Titillium" w:hAnsi="Titillium" w:cs="Courier New"/>
          <w:sz w:val="18"/>
          <w:szCs w:val="18"/>
        </w:rPr>
        <w:t xml:space="preserve">   </w:t>
      </w:r>
    </w:p>
    <w:p w14:paraId="1CBA99F3" w14:textId="77777777" w:rsidR="00276DF7" w:rsidRDefault="00276DF7" w:rsidP="00276DF7">
      <w:pPr>
        <w:shd w:val="clear" w:color="auto" w:fill="F2F2F2" w:themeFill="background1" w:themeFillShade="F2"/>
        <w:spacing w:before="120" w:after="60"/>
      </w:pPr>
      <w:r w:rsidRPr="00D16350">
        <w:rPr>
          <w:rFonts w:ascii="Titillium" w:hAnsi="Titillium"/>
          <w:b/>
          <w:i/>
          <w:sz w:val="18"/>
          <w:szCs w:val="18"/>
        </w:rPr>
        <w:t>[</w:t>
      </w:r>
      <w:r>
        <w:rPr>
          <w:rFonts w:ascii="Titillium" w:hAnsi="Titillium"/>
          <w:b/>
          <w:i/>
          <w:sz w:val="18"/>
          <w:szCs w:val="18"/>
        </w:rPr>
        <w:t>Facoltativo: se la stazione appaltante richiede una forma giuridica specifica per i raggruppamenti]</w:t>
      </w:r>
      <w:r>
        <w:rPr>
          <w:rFonts w:ascii="Titillium" w:hAnsi="Titillium"/>
          <w:sz w:val="18"/>
          <w:szCs w:val="18"/>
        </w:rPr>
        <w:t xml:space="preserve"> </w:t>
      </w:r>
      <w:r>
        <w:rPr>
          <w:rFonts w:ascii="Titillium" w:hAnsi="Titillium" w:cs="Calibri"/>
          <w:sz w:val="18"/>
          <w:szCs w:val="18"/>
        </w:rPr>
        <w:t xml:space="preserve">I raggruppamenti di operatori economici, dopo l’aggiudicazione, devono assumere la forma di … </w:t>
      </w:r>
      <w:r w:rsidRPr="0071247E">
        <w:rPr>
          <w:rFonts w:ascii="Titillium" w:hAnsi="Titillium" w:cs="Calibri"/>
          <w:i/>
          <w:iCs/>
          <w:sz w:val="18"/>
          <w:szCs w:val="18"/>
        </w:rPr>
        <w:t xml:space="preserve">[inserire la forma giuridica specifica]. </w:t>
      </w:r>
    </w:p>
    <w:p w14:paraId="3DB0AF9B" w14:textId="77777777" w:rsidR="00276DF7" w:rsidRDefault="00276DF7" w:rsidP="00276DF7">
      <w:pPr>
        <w:shd w:val="clear" w:color="auto" w:fill="F2F2F2" w:themeFill="background1" w:themeFillShade="F2"/>
        <w:spacing w:before="120" w:after="60"/>
        <w:rPr>
          <w:rFonts w:ascii="Titillium" w:hAnsi="Titillium" w:cs="Calibri"/>
          <w:i/>
          <w:sz w:val="18"/>
          <w:szCs w:val="18"/>
        </w:rPr>
      </w:pPr>
      <w:r>
        <w:rPr>
          <w:rFonts w:ascii="Titillium" w:hAnsi="Titillium"/>
          <w:b/>
          <w:i/>
          <w:sz w:val="18"/>
          <w:szCs w:val="18"/>
        </w:rPr>
        <w:t>[Facoltativo: se la stazione appaltante richiede specifiche condizioni di esecuzione per i raggruppamenti]</w:t>
      </w:r>
      <w:r>
        <w:rPr>
          <w:rFonts w:ascii="Titillium" w:hAnsi="Titillium"/>
          <w:sz w:val="18"/>
          <w:szCs w:val="18"/>
        </w:rPr>
        <w:t xml:space="preserve"> </w:t>
      </w:r>
      <w:r>
        <w:rPr>
          <w:rFonts w:ascii="Titillium" w:hAnsi="Titillium" w:cs="Calibri"/>
          <w:sz w:val="18"/>
          <w:szCs w:val="18"/>
        </w:rPr>
        <w:t xml:space="preserve">I raggruppamenti di operatori economici, nell’esecuzione dell’appalto, devono rispettare le seguenti condizioni: …. </w:t>
      </w:r>
      <w:r>
        <w:rPr>
          <w:rFonts w:ascii="Titillium" w:hAnsi="Titillium" w:cs="Calibri"/>
          <w:i/>
          <w:sz w:val="18"/>
          <w:szCs w:val="18"/>
        </w:rPr>
        <w:t>[inserire le condizioni richieste che devono essere proporzionate e giustificate da ragioni oggettive].</w:t>
      </w:r>
    </w:p>
    <w:p w14:paraId="3E4DAD38" w14:textId="77777777" w:rsidR="00276DF7" w:rsidRDefault="00276DF7" w:rsidP="00276DF7">
      <w:pPr>
        <w:pStyle w:val="Titolo2"/>
        <w:numPr>
          <w:ilvl w:val="0"/>
          <w:numId w:val="4"/>
        </w:numPr>
        <w:shd w:val="clear" w:color="auto" w:fill="F2F2F2" w:themeFill="background1" w:themeFillShade="F2"/>
        <w:ind w:left="357" w:hanging="357"/>
      </w:pPr>
      <w:bookmarkStart w:id="289" w:name="_Toc406058371"/>
      <w:bookmarkStart w:id="290" w:name="_Toc403471265"/>
      <w:bookmarkStart w:id="291" w:name="_Toc397422858"/>
      <w:bookmarkStart w:id="292" w:name="_Toc397346817"/>
      <w:bookmarkStart w:id="293" w:name="_Toc393706902"/>
      <w:bookmarkStart w:id="294" w:name="_Toc393700829"/>
      <w:bookmarkStart w:id="295" w:name="_Toc393283170"/>
      <w:bookmarkStart w:id="296" w:name="_Toc393272654"/>
      <w:bookmarkStart w:id="297" w:name="_Toc393272596"/>
      <w:bookmarkStart w:id="298" w:name="_Toc393187840"/>
      <w:bookmarkStart w:id="299" w:name="_Toc393112123"/>
      <w:bookmarkStart w:id="300" w:name="_Toc393110559"/>
      <w:bookmarkStart w:id="301" w:name="_Toc392577492"/>
      <w:bookmarkStart w:id="302" w:name="_Toc391036051"/>
      <w:bookmarkStart w:id="303" w:name="_Toc391035978"/>
      <w:bookmarkStart w:id="304" w:name="_Toc380501865"/>
      <w:bookmarkStart w:id="305" w:name="_Toc391036049"/>
      <w:bookmarkStart w:id="306" w:name="_Toc391035976"/>
      <w:bookmarkStart w:id="307" w:name="_Toc485218274"/>
      <w:bookmarkStart w:id="308" w:name="_Toc484688838"/>
      <w:bookmarkStart w:id="309" w:name="_Toc484688283"/>
      <w:bookmarkStart w:id="310" w:name="_Toc484605414"/>
      <w:bookmarkStart w:id="311" w:name="_Toc484605290"/>
      <w:bookmarkStart w:id="312" w:name="_Toc484526570"/>
      <w:bookmarkStart w:id="313" w:name="_Toc484449075"/>
      <w:bookmarkStart w:id="314" w:name="_Toc484448951"/>
      <w:bookmarkStart w:id="315" w:name="_Toc484448827"/>
      <w:bookmarkStart w:id="316" w:name="_Toc484448704"/>
      <w:bookmarkStart w:id="317" w:name="_Toc484448580"/>
      <w:bookmarkStart w:id="318" w:name="_Toc484448456"/>
      <w:bookmarkStart w:id="319" w:name="_Toc484448332"/>
      <w:bookmarkStart w:id="320" w:name="_Toc484448208"/>
      <w:bookmarkStart w:id="321" w:name="_Toc484448083"/>
      <w:bookmarkStart w:id="322" w:name="_Toc484440424"/>
      <w:bookmarkStart w:id="323" w:name="_Toc484440064"/>
      <w:bookmarkStart w:id="324" w:name="_Toc484439940"/>
      <w:bookmarkStart w:id="325" w:name="_Toc484439817"/>
      <w:bookmarkStart w:id="326" w:name="_Toc484438897"/>
      <w:bookmarkStart w:id="327" w:name="_Toc484438773"/>
      <w:bookmarkStart w:id="328" w:name="_Toc484438649"/>
      <w:bookmarkStart w:id="329" w:name="_Toc484429074"/>
      <w:bookmarkStart w:id="330" w:name="_Toc484428904"/>
      <w:bookmarkStart w:id="331" w:name="_Toc484097732"/>
      <w:bookmarkStart w:id="332" w:name="_Toc484011658"/>
      <w:bookmarkStart w:id="333" w:name="_Toc484011183"/>
      <w:bookmarkStart w:id="334" w:name="_Toc484011061"/>
      <w:bookmarkStart w:id="335" w:name="_Toc484010939"/>
      <w:bookmarkStart w:id="336" w:name="_Toc484010815"/>
      <w:bookmarkStart w:id="337" w:name="_Toc484010693"/>
      <w:bookmarkStart w:id="338" w:name="_Toc483906943"/>
      <w:bookmarkStart w:id="339" w:name="_Toc483571566"/>
      <w:bookmarkStart w:id="340" w:name="_Toc483571445"/>
      <w:bookmarkStart w:id="341" w:name="_Toc483474016"/>
      <w:bookmarkStart w:id="342" w:name="_Toc483401219"/>
      <w:bookmarkStart w:id="343" w:name="_Toc483325740"/>
      <w:bookmarkStart w:id="344" w:name="_Toc483316437"/>
      <w:bookmarkStart w:id="345" w:name="_Toc483316306"/>
      <w:bookmarkStart w:id="346" w:name="_Toc483316103"/>
      <w:bookmarkStart w:id="347" w:name="_Toc483315898"/>
      <w:bookmarkStart w:id="348" w:name="_Toc483302348"/>
      <w:bookmarkStart w:id="349" w:name="_Toc483233648"/>
      <w:bookmarkStart w:id="350" w:name="_Toc482979687"/>
      <w:bookmarkStart w:id="351" w:name="_Toc482979589"/>
      <w:bookmarkStart w:id="352" w:name="_Toc482979480"/>
      <w:bookmarkStart w:id="353" w:name="_Toc482979372"/>
      <w:bookmarkStart w:id="354" w:name="_Toc482979263"/>
      <w:bookmarkStart w:id="355" w:name="_Toc482979154"/>
      <w:bookmarkStart w:id="356" w:name="_Toc482979043"/>
      <w:bookmarkStart w:id="357" w:name="_Toc482978935"/>
      <w:bookmarkStart w:id="358" w:name="_Toc482978826"/>
      <w:bookmarkStart w:id="359" w:name="_Toc482959707"/>
      <w:bookmarkStart w:id="360" w:name="_Toc482959597"/>
      <w:bookmarkStart w:id="361" w:name="_Toc482959487"/>
      <w:bookmarkStart w:id="362" w:name="_Toc482712717"/>
      <w:bookmarkStart w:id="363" w:name="_Toc482641271"/>
      <w:bookmarkStart w:id="364" w:name="_Toc482633094"/>
      <w:bookmarkStart w:id="365" w:name="_Toc482352254"/>
      <w:bookmarkStart w:id="366" w:name="_Toc482352164"/>
      <w:bookmarkStart w:id="367" w:name="_Toc482352074"/>
      <w:bookmarkStart w:id="368" w:name="_Toc482351984"/>
      <w:bookmarkStart w:id="369" w:name="_Toc482102120"/>
      <w:bookmarkStart w:id="370" w:name="_Toc482102026"/>
      <w:bookmarkStart w:id="371" w:name="_Toc482101931"/>
      <w:bookmarkStart w:id="372" w:name="_Toc482101836"/>
      <w:bookmarkStart w:id="373" w:name="_Toc482101743"/>
      <w:bookmarkStart w:id="374" w:name="_Toc482101568"/>
      <w:bookmarkStart w:id="375" w:name="_Toc482101453"/>
      <w:bookmarkStart w:id="376" w:name="_Toc482101316"/>
      <w:bookmarkStart w:id="377" w:name="_Toc482100890"/>
      <w:bookmarkStart w:id="378" w:name="_Toc482100733"/>
      <w:bookmarkStart w:id="379" w:name="_Toc482099016"/>
      <w:bookmarkStart w:id="380" w:name="_Toc482097918"/>
      <w:bookmarkStart w:id="381" w:name="_Toc482097726"/>
      <w:bookmarkStart w:id="382" w:name="_Toc482097637"/>
      <w:bookmarkStart w:id="383" w:name="_Toc482097548"/>
      <w:bookmarkStart w:id="384" w:name="_Toc482025725"/>
      <w:bookmarkStart w:id="385" w:name="_Toc485218273"/>
      <w:bookmarkStart w:id="386" w:name="_Toc484688837"/>
      <w:bookmarkStart w:id="387" w:name="_Toc484688282"/>
      <w:bookmarkStart w:id="388" w:name="_Toc484605413"/>
      <w:bookmarkStart w:id="389" w:name="_Toc484605289"/>
      <w:bookmarkStart w:id="390" w:name="_Toc484526569"/>
      <w:bookmarkStart w:id="391" w:name="_Toc484449074"/>
      <w:bookmarkStart w:id="392" w:name="_Toc484448950"/>
      <w:bookmarkStart w:id="393" w:name="_Toc484448826"/>
      <w:bookmarkStart w:id="394" w:name="_Toc484448703"/>
      <w:bookmarkStart w:id="395" w:name="_Toc484448579"/>
      <w:bookmarkStart w:id="396" w:name="_Toc484448455"/>
      <w:bookmarkStart w:id="397" w:name="_Toc484448331"/>
      <w:bookmarkStart w:id="398" w:name="_Toc484448207"/>
      <w:bookmarkStart w:id="399" w:name="_Toc484448082"/>
      <w:bookmarkStart w:id="400" w:name="_Toc484440423"/>
      <w:bookmarkStart w:id="401" w:name="_Toc484440063"/>
      <w:bookmarkStart w:id="402" w:name="_Toc484439939"/>
      <w:bookmarkStart w:id="403" w:name="_Toc484439816"/>
      <w:bookmarkStart w:id="404" w:name="_Toc484438896"/>
      <w:bookmarkStart w:id="405" w:name="_Toc484438772"/>
      <w:bookmarkStart w:id="406" w:name="_Toc484438648"/>
      <w:bookmarkStart w:id="407" w:name="_Toc484429073"/>
      <w:bookmarkStart w:id="408" w:name="_Toc484428903"/>
      <w:bookmarkStart w:id="409" w:name="_Toc484097731"/>
      <w:bookmarkStart w:id="410" w:name="_Toc484011657"/>
      <w:bookmarkStart w:id="411" w:name="_Toc484011182"/>
      <w:bookmarkStart w:id="412" w:name="_Toc484011060"/>
      <w:bookmarkStart w:id="413" w:name="_Toc484010938"/>
      <w:bookmarkStart w:id="414" w:name="_Toc484010814"/>
      <w:bookmarkStart w:id="415" w:name="_Toc484010692"/>
      <w:bookmarkStart w:id="416" w:name="_Toc483906942"/>
      <w:bookmarkStart w:id="417" w:name="_Toc483571565"/>
      <w:bookmarkStart w:id="418" w:name="_Toc483571444"/>
      <w:bookmarkStart w:id="419" w:name="_Toc483474015"/>
      <w:bookmarkStart w:id="420" w:name="_Toc483401218"/>
      <w:bookmarkStart w:id="421" w:name="_Toc483325739"/>
      <w:bookmarkStart w:id="422" w:name="_Toc483316436"/>
      <w:bookmarkStart w:id="423" w:name="_Toc483316305"/>
      <w:bookmarkStart w:id="424" w:name="_Toc483316102"/>
      <w:bookmarkStart w:id="425" w:name="_Toc483315897"/>
      <w:bookmarkStart w:id="426" w:name="_Toc483302347"/>
      <w:bookmarkStart w:id="427" w:name="_Toc483233647"/>
      <w:bookmarkStart w:id="428" w:name="_Toc482979686"/>
      <w:bookmarkStart w:id="429" w:name="_Toc482979588"/>
      <w:bookmarkStart w:id="430" w:name="_Toc482979479"/>
      <w:bookmarkStart w:id="431" w:name="_Toc482979371"/>
      <w:bookmarkStart w:id="432" w:name="_Toc482979262"/>
      <w:bookmarkStart w:id="433" w:name="_Toc482979153"/>
      <w:bookmarkStart w:id="434" w:name="_Toc482979042"/>
      <w:bookmarkStart w:id="435" w:name="_Toc482978934"/>
      <w:bookmarkStart w:id="436" w:name="_Toc482978825"/>
      <w:bookmarkStart w:id="437" w:name="_Toc482959706"/>
      <w:bookmarkStart w:id="438" w:name="_Toc482959596"/>
      <w:bookmarkStart w:id="439" w:name="_Toc482959486"/>
      <w:bookmarkStart w:id="440" w:name="_Toc482712716"/>
      <w:bookmarkStart w:id="441" w:name="_Toc482641270"/>
      <w:bookmarkStart w:id="442" w:name="_Toc482633093"/>
      <w:bookmarkStart w:id="443" w:name="_Toc482352253"/>
      <w:bookmarkStart w:id="444" w:name="_Toc482352163"/>
      <w:bookmarkStart w:id="445" w:name="_Toc482352073"/>
      <w:bookmarkStart w:id="446" w:name="_Toc482351983"/>
      <w:bookmarkStart w:id="447" w:name="_Toc482102119"/>
      <w:bookmarkStart w:id="448" w:name="_Toc482102025"/>
      <w:bookmarkStart w:id="449" w:name="_Toc482101930"/>
      <w:bookmarkStart w:id="450" w:name="_Toc482101835"/>
      <w:bookmarkStart w:id="451" w:name="_Toc482101742"/>
      <w:bookmarkStart w:id="452" w:name="_Toc482101567"/>
      <w:bookmarkStart w:id="453" w:name="_Toc482101452"/>
      <w:bookmarkStart w:id="454" w:name="_Toc482101315"/>
      <w:bookmarkStart w:id="455" w:name="_Toc482100889"/>
      <w:bookmarkStart w:id="456" w:name="_Toc482100732"/>
      <w:bookmarkStart w:id="457" w:name="_Toc482099015"/>
      <w:bookmarkStart w:id="458" w:name="_Toc482097917"/>
      <w:bookmarkStart w:id="459" w:name="_Toc482097725"/>
      <w:bookmarkStart w:id="460" w:name="_Toc482097636"/>
      <w:bookmarkStart w:id="461" w:name="_Toc482097547"/>
      <w:bookmarkStart w:id="462" w:name="_Toc482025724"/>
      <w:bookmarkStart w:id="463" w:name="_Toc485218272"/>
      <w:bookmarkStart w:id="464" w:name="_Toc484688836"/>
      <w:bookmarkStart w:id="465" w:name="_Toc484688281"/>
      <w:bookmarkStart w:id="466" w:name="_Toc484605412"/>
      <w:bookmarkStart w:id="467" w:name="_Toc484605288"/>
      <w:bookmarkStart w:id="468" w:name="_Toc484526568"/>
      <w:bookmarkStart w:id="469" w:name="_Toc484449073"/>
      <w:bookmarkStart w:id="470" w:name="_Toc484448949"/>
      <w:bookmarkStart w:id="471" w:name="_Toc484448825"/>
      <w:bookmarkStart w:id="472" w:name="_Toc484448702"/>
      <w:bookmarkStart w:id="473" w:name="_Toc484448578"/>
      <w:bookmarkStart w:id="474" w:name="_Toc484448454"/>
      <w:bookmarkStart w:id="475" w:name="_Toc484448330"/>
      <w:bookmarkStart w:id="476" w:name="_Toc484448206"/>
      <w:bookmarkStart w:id="477" w:name="_Toc484448081"/>
      <w:bookmarkStart w:id="478" w:name="_Toc484440422"/>
      <w:bookmarkStart w:id="479" w:name="_Toc484440062"/>
      <w:bookmarkStart w:id="480" w:name="_Toc484439938"/>
      <w:bookmarkStart w:id="481" w:name="_Toc484439815"/>
      <w:bookmarkStart w:id="482" w:name="_Toc484438895"/>
      <w:bookmarkStart w:id="483" w:name="_Toc484438771"/>
      <w:bookmarkStart w:id="484" w:name="_Toc484438647"/>
      <w:bookmarkStart w:id="485" w:name="_Toc484429072"/>
      <w:bookmarkStart w:id="486" w:name="_Toc484428902"/>
      <w:bookmarkStart w:id="487" w:name="_Toc484097730"/>
      <w:bookmarkStart w:id="488" w:name="_Toc484011656"/>
      <w:bookmarkStart w:id="489" w:name="_Toc484011181"/>
      <w:bookmarkStart w:id="490" w:name="_Toc484011059"/>
      <w:bookmarkStart w:id="491" w:name="_Toc484010937"/>
      <w:bookmarkStart w:id="492" w:name="_Toc484010813"/>
      <w:bookmarkStart w:id="493" w:name="_Toc484010691"/>
      <w:bookmarkStart w:id="494" w:name="_Toc483906941"/>
      <w:bookmarkStart w:id="495" w:name="_Toc483571564"/>
      <w:bookmarkStart w:id="496" w:name="_Toc483571443"/>
      <w:bookmarkStart w:id="497" w:name="_Toc483474014"/>
      <w:bookmarkStart w:id="498" w:name="_Toc483401217"/>
      <w:bookmarkStart w:id="499" w:name="_Toc483325738"/>
      <w:bookmarkStart w:id="500" w:name="_Toc483316435"/>
      <w:bookmarkStart w:id="501" w:name="_Toc483316304"/>
      <w:bookmarkStart w:id="502" w:name="_Toc483316101"/>
      <w:bookmarkStart w:id="503" w:name="_Toc483315896"/>
      <w:bookmarkStart w:id="504" w:name="_Toc483302346"/>
      <w:bookmarkStart w:id="505" w:name="_Toc483233646"/>
      <w:bookmarkStart w:id="506" w:name="_Toc482979685"/>
      <w:bookmarkStart w:id="507" w:name="_Toc482979587"/>
      <w:bookmarkStart w:id="508" w:name="_Toc482979478"/>
      <w:bookmarkStart w:id="509" w:name="_Toc482979370"/>
      <w:bookmarkStart w:id="510" w:name="_Toc482979261"/>
      <w:bookmarkStart w:id="511" w:name="_Toc482979152"/>
      <w:bookmarkStart w:id="512" w:name="_Toc482979041"/>
      <w:bookmarkStart w:id="513" w:name="_Toc482978933"/>
      <w:bookmarkStart w:id="514" w:name="_Toc482978824"/>
      <w:bookmarkStart w:id="515" w:name="_Toc482959705"/>
      <w:bookmarkStart w:id="516" w:name="_Toc482959595"/>
      <w:bookmarkStart w:id="517" w:name="_Toc482959485"/>
      <w:bookmarkStart w:id="518" w:name="_Toc482712715"/>
      <w:bookmarkStart w:id="519" w:name="_Toc482641269"/>
      <w:bookmarkStart w:id="520" w:name="_Toc482633092"/>
      <w:bookmarkStart w:id="521" w:name="_Toc482352252"/>
      <w:bookmarkStart w:id="522" w:name="_Toc482352162"/>
      <w:bookmarkStart w:id="523" w:name="_Toc482352072"/>
      <w:bookmarkStart w:id="524" w:name="_Toc482351982"/>
      <w:bookmarkStart w:id="525" w:name="_Toc482102118"/>
      <w:bookmarkStart w:id="526" w:name="_Toc482102024"/>
      <w:bookmarkStart w:id="527" w:name="_Toc482101929"/>
      <w:bookmarkStart w:id="528" w:name="_Toc482101834"/>
      <w:bookmarkStart w:id="529" w:name="_Toc482101741"/>
      <w:bookmarkStart w:id="530" w:name="_Toc482101566"/>
      <w:bookmarkStart w:id="531" w:name="_Toc482101451"/>
      <w:bookmarkStart w:id="532" w:name="_Toc482101314"/>
      <w:bookmarkStart w:id="533" w:name="_Toc482100888"/>
      <w:bookmarkStart w:id="534" w:name="_Toc482100731"/>
      <w:bookmarkStart w:id="535" w:name="_Toc482099014"/>
      <w:bookmarkStart w:id="536" w:name="_Toc482097916"/>
      <w:bookmarkStart w:id="537" w:name="_Toc482097724"/>
      <w:bookmarkStart w:id="538" w:name="_Toc482097635"/>
      <w:bookmarkStart w:id="539" w:name="_Toc482097546"/>
      <w:bookmarkStart w:id="540" w:name="_Toc482025723"/>
      <w:bookmarkStart w:id="541" w:name="_Toc485218271"/>
      <w:bookmarkStart w:id="542" w:name="_Toc484688835"/>
      <w:bookmarkStart w:id="543" w:name="_Toc484688280"/>
      <w:bookmarkStart w:id="544" w:name="_Toc484605411"/>
      <w:bookmarkStart w:id="545" w:name="_Toc484605287"/>
      <w:bookmarkStart w:id="546" w:name="_Toc484526567"/>
      <w:bookmarkStart w:id="547" w:name="_Toc484449072"/>
      <w:bookmarkStart w:id="548" w:name="_Toc484448948"/>
      <w:bookmarkStart w:id="549" w:name="_Toc484448824"/>
      <w:bookmarkStart w:id="550" w:name="_Toc484448701"/>
      <w:bookmarkStart w:id="551" w:name="_Toc484448577"/>
      <w:bookmarkStart w:id="552" w:name="_Toc484448453"/>
      <w:bookmarkStart w:id="553" w:name="_Toc484448329"/>
      <w:bookmarkStart w:id="554" w:name="_Toc484448205"/>
      <w:bookmarkStart w:id="555" w:name="_Toc484448080"/>
      <w:bookmarkStart w:id="556" w:name="_Toc484440421"/>
      <w:bookmarkStart w:id="557" w:name="_Toc484440061"/>
      <w:bookmarkStart w:id="558" w:name="_Toc484439937"/>
      <w:bookmarkStart w:id="559" w:name="_Toc484439814"/>
      <w:bookmarkStart w:id="560" w:name="_Toc484438894"/>
      <w:bookmarkStart w:id="561" w:name="_Toc484438770"/>
      <w:bookmarkStart w:id="562" w:name="_Toc484438646"/>
      <w:bookmarkStart w:id="563" w:name="_Toc484429071"/>
      <w:bookmarkStart w:id="564" w:name="_Toc484428901"/>
      <w:bookmarkStart w:id="565" w:name="_Toc484097729"/>
      <w:bookmarkStart w:id="566" w:name="_Toc484011655"/>
      <w:bookmarkStart w:id="567" w:name="_Toc484011180"/>
      <w:bookmarkStart w:id="568" w:name="_Toc484011058"/>
      <w:bookmarkStart w:id="569" w:name="_Toc484010936"/>
      <w:bookmarkStart w:id="570" w:name="_Toc484010812"/>
      <w:bookmarkStart w:id="571" w:name="_Toc484010690"/>
      <w:bookmarkStart w:id="572" w:name="_Toc483906940"/>
      <w:bookmarkStart w:id="573" w:name="_Toc483571563"/>
      <w:bookmarkStart w:id="574" w:name="_Toc483571442"/>
      <w:bookmarkStart w:id="575" w:name="_Toc483474013"/>
      <w:bookmarkStart w:id="576" w:name="_Toc483401216"/>
      <w:bookmarkStart w:id="577" w:name="_Toc483325737"/>
      <w:bookmarkStart w:id="578" w:name="_Toc483316434"/>
      <w:bookmarkStart w:id="579" w:name="_Toc483316303"/>
      <w:bookmarkStart w:id="580" w:name="_Toc483316100"/>
      <w:bookmarkStart w:id="581" w:name="_Toc483315895"/>
      <w:bookmarkStart w:id="582" w:name="_Toc483302345"/>
      <w:bookmarkStart w:id="583" w:name="_Toc483233645"/>
      <w:bookmarkStart w:id="584" w:name="_Toc482979684"/>
      <w:bookmarkStart w:id="585" w:name="_Toc482979586"/>
      <w:bookmarkStart w:id="586" w:name="_Toc482979477"/>
      <w:bookmarkStart w:id="587" w:name="_Toc482979369"/>
      <w:bookmarkStart w:id="588" w:name="_Toc482979260"/>
      <w:bookmarkStart w:id="589" w:name="_Toc482979151"/>
      <w:bookmarkStart w:id="590" w:name="_Toc482979040"/>
      <w:bookmarkStart w:id="591" w:name="_Toc482978932"/>
      <w:bookmarkStart w:id="592" w:name="_Toc482978823"/>
      <w:bookmarkStart w:id="593" w:name="_Toc482959704"/>
      <w:bookmarkStart w:id="594" w:name="_Toc482959594"/>
      <w:bookmarkStart w:id="595" w:name="_Toc482959484"/>
      <w:bookmarkStart w:id="596" w:name="_Toc482712714"/>
      <w:bookmarkStart w:id="597" w:name="_Toc482641268"/>
      <w:bookmarkStart w:id="598" w:name="_Toc482633091"/>
      <w:bookmarkStart w:id="599" w:name="_Toc482352251"/>
      <w:bookmarkStart w:id="600" w:name="_Toc482352161"/>
      <w:bookmarkStart w:id="601" w:name="_Toc482352071"/>
      <w:bookmarkStart w:id="602" w:name="_Toc482351981"/>
      <w:bookmarkStart w:id="603" w:name="_Toc482102117"/>
      <w:bookmarkStart w:id="604" w:name="_Toc482102023"/>
      <w:bookmarkStart w:id="605" w:name="_Toc482101928"/>
      <w:bookmarkStart w:id="606" w:name="_Toc482101833"/>
      <w:bookmarkStart w:id="607" w:name="_Toc482101740"/>
      <w:bookmarkStart w:id="608" w:name="_Toc482101565"/>
      <w:bookmarkStart w:id="609" w:name="_Toc482101450"/>
      <w:bookmarkStart w:id="610" w:name="_Toc482101313"/>
      <w:bookmarkStart w:id="611" w:name="_Toc482100887"/>
      <w:bookmarkStart w:id="612" w:name="_Toc482100730"/>
      <w:bookmarkStart w:id="613" w:name="_Toc482099013"/>
      <w:bookmarkStart w:id="614" w:name="_Toc482097915"/>
      <w:bookmarkStart w:id="615" w:name="_Toc482097723"/>
      <w:bookmarkStart w:id="616" w:name="_Toc482097634"/>
      <w:bookmarkStart w:id="617" w:name="_Toc482097545"/>
      <w:bookmarkStart w:id="618" w:name="_Toc482025722"/>
      <w:bookmarkStart w:id="619" w:name="_Toc485218270"/>
      <w:bookmarkStart w:id="620" w:name="_Toc484688834"/>
      <w:bookmarkStart w:id="621" w:name="_Toc484688279"/>
      <w:bookmarkStart w:id="622" w:name="_Toc484605410"/>
      <w:bookmarkStart w:id="623" w:name="_Toc484605286"/>
      <w:bookmarkStart w:id="624" w:name="_Toc484526566"/>
      <w:bookmarkStart w:id="625" w:name="_Toc484449071"/>
      <w:bookmarkStart w:id="626" w:name="_Toc484448947"/>
      <w:bookmarkStart w:id="627" w:name="_Toc484448823"/>
      <w:bookmarkStart w:id="628" w:name="_Toc484448700"/>
      <w:bookmarkStart w:id="629" w:name="_Toc484448576"/>
      <w:bookmarkStart w:id="630" w:name="_Toc484448452"/>
      <w:bookmarkStart w:id="631" w:name="_Toc484448328"/>
      <w:bookmarkStart w:id="632" w:name="_Toc484448204"/>
      <w:bookmarkStart w:id="633" w:name="_Toc484448079"/>
      <w:bookmarkStart w:id="634" w:name="_Toc484440420"/>
      <w:bookmarkStart w:id="635" w:name="_Toc484440060"/>
      <w:bookmarkStart w:id="636" w:name="_Toc484439936"/>
      <w:bookmarkStart w:id="637" w:name="_Toc484439813"/>
      <w:bookmarkStart w:id="638" w:name="_Toc484438893"/>
      <w:bookmarkStart w:id="639" w:name="_Toc484438769"/>
      <w:bookmarkStart w:id="640" w:name="_Toc484438645"/>
      <w:bookmarkStart w:id="641" w:name="_Toc484429070"/>
      <w:bookmarkStart w:id="642" w:name="_Toc484428900"/>
      <w:bookmarkStart w:id="643" w:name="_Toc484097728"/>
      <w:bookmarkStart w:id="644" w:name="_Toc484011654"/>
      <w:bookmarkStart w:id="645" w:name="_Toc484011179"/>
      <w:bookmarkStart w:id="646" w:name="_Toc484011057"/>
      <w:bookmarkStart w:id="647" w:name="_Toc484010935"/>
      <w:bookmarkStart w:id="648" w:name="_Toc484010811"/>
      <w:bookmarkStart w:id="649" w:name="_Toc484010689"/>
      <w:bookmarkStart w:id="650" w:name="_Toc483906939"/>
      <w:bookmarkStart w:id="651" w:name="_Toc483571562"/>
      <w:bookmarkStart w:id="652" w:name="_Toc483571441"/>
      <w:bookmarkStart w:id="653" w:name="_Toc483474012"/>
      <w:bookmarkStart w:id="654" w:name="_Toc483401215"/>
      <w:bookmarkStart w:id="655" w:name="_Toc483325736"/>
      <w:bookmarkStart w:id="656" w:name="_Toc483316433"/>
      <w:bookmarkStart w:id="657" w:name="_Toc483316302"/>
      <w:bookmarkStart w:id="658" w:name="_Toc483316099"/>
      <w:bookmarkStart w:id="659" w:name="_Toc483315894"/>
      <w:bookmarkStart w:id="660" w:name="_Toc483302344"/>
      <w:bookmarkStart w:id="661" w:name="_Toc483233644"/>
      <w:bookmarkStart w:id="662" w:name="_Toc482979683"/>
      <w:bookmarkStart w:id="663" w:name="_Toc482979585"/>
      <w:bookmarkStart w:id="664" w:name="_Toc482979476"/>
      <w:bookmarkStart w:id="665" w:name="_Toc482979368"/>
      <w:bookmarkStart w:id="666" w:name="_Toc482979259"/>
      <w:bookmarkStart w:id="667" w:name="_Toc482979150"/>
      <w:bookmarkStart w:id="668" w:name="_Toc482979039"/>
      <w:bookmarkStart w:id="669" w:name="_Toc482978931"/>
      <w:bookmarkStart w:id="670" w:name="_Toc482978822"/>
      <w:bookmarkStart w:id="671" w:name="_Toc482959703"/>
      <w:bookmarkStart w:id="672" w:name="_Toc482959593"/>
      <w:bookmarkStart w:id="673" w:name="_Toc482959483"/>
      <w:bookmarkStart w:id="674" w:name="_Toc482712713"/>
      <w:bookmarkStart w:id="675" w:name="_Toc482641267"/>
      <w:bookmarkStart w:id="676" w:name="_Toc482633090"/>
      <w:bookmarkStart w:id="677" w:name="_Toc482352250"/>
      <w:bookmarkStart w:id="678" w:name="_Toc482352160"/>
      <w:bookmarkStart w:id="679" w:name="_Toc482352070"/>
      <w:bookmarkStart w:id="680" w:name="_Toc482351980"/>
      <w:bookmarkStart w:id="681" w:name="_Toc482102116"/>
      <w:bookmarkStart w:id="682" w:name="_Toc482102022"/>
      <w:bookmarkStart w:id="683" w:name="_Toc482101927"/>
      <w:bookmarkStart w:id="684" w:name="_Toc482101832"/>
      <w:bookmarkStart w:id="685" w:name="_Toc482101739"/>
      <w:bookmarkStart w:id="686" w:name="_Toc482101564"/>
      <w:bookmarkStart w:id="687" w:name="_Toc482101449"/>
      <w:bookmarkStart w:id="688" w:name="_Toc482101312"/>
      <w:bookmarkStart w:id="689" w:name="_Toc482100886"/>
      <w:bookmarkStart w:id="690" w:name="_Toc482100729"/>
      <w:bookmarkStart w:id="691" w:name="_Toc482099012"/>
      <w:bookmarkStart w:id="692" w:name="_Toc482097914"/>
      <w:bookmarkStart w:id="693" w:name="_Toc482097722"/>
      <w:bookmarkStart w:id="694" w:name="_Toc482097633"/>
      <w:bookmarkStart w:id="695" w:name="_Toc482097544"/>
      <w:bookmarkStart w:id="696" w:name="_Toc482025721"/>
      <w:bookmarkStart w:id="697" w:name="_Toc485218269"/>
      <w:bookmarkStart w:id="698" w:name="_Toc484688833"/>
      <w:bookmarkStart w:id="699" w:name="_Toc484688278"/>
      <w:bookmarkStart w:id="700" w:name="_Toc484605409"/>
      <w:bookmarkStart w:id="701" w:name="_Toc484605285"/>
      <w:bookmarkStart w:id="702" w:name="_Toc484526565"/>
      <w:bookmarkStart w:id="703" w:name="_Toc484449070"/>
      <w:bookmarkStart w:id="704" w:name="_Toc484448946"/>
      <w:bookmarkStart w:id="705" w:name="_Toc484448822"/>
      <w:bookmarkStart w:id="706" w:name="_Toc484448699"/>
      <w:bookmarkStart w:id="707" w:name="_Toc484448575"/>
      <w:bookmarkStart w:id="708" w:name="_Toc484448451"/>
      <w:bookmarkStart w:id="709" w:name="_Toc484448327"/>
      <w:bookmarkStart w:id="710" w:name="_Toc484448203"/>
      <w:bookmarkStart w:id="711" w:name="_Toc484448078"/>
      <w:bookmarkStart w:id="712" w:name="_Toc484440419"/>
      <w:bookmarkStart w:id="713" w:name="_Toc484440059"/>
      <w:bookmarkStart w:id="714" w:name="_Toc484439935"/>
      <w:bookmarkStart w:id="715" w:name="_Toc484439812"/>
      <w:bookmarkStart w:id="716" w:name="_Toc484438892"/>
      <w:bookmarkStart w:id="717" w:name="_Toc484438768"/>
      <w:bookmarkStart w:id="718" w:name="_Toc484438644"/>
      <w:bookmarkStart w:id="719" w:name="_Toc484429069"/>
      <w:bookmarkStart w:id="720" w:name="_Toc484428899"/>
      <w:bookmarkStart w:id="721" w:name="_Toc484097727"/>
      <w:bookmarkStart w:id="722" w:name="_Toc484011653"/>
      <w:bookmarkStart w:id="723" w:name="_Toc484011178"/>
      <w:bookmarkStart w:id="724" w:name="_Toc484011056"/>
      <w:bookmarkStart w:id="725" w:name="_Toc484010934"/>
      <w:bookmarkStart w:id="726" w:name="_Toc484010810"/>
      <w:bookmarkStart w:id="727" w:name="_Toc484010688"/>
      <w:bookmarkStart w:id="728" w:name="_Toc483906938"/>
      <w:bookmarkStart w:id="729" w:name="_Toc483571561"/>
      <w:bookmarkStart w:id="730" w:name="_Toc483571440"/>
      <w:bookmarkStart w:id="731" w:name="_Toc483474011"/>
      <w:bookmarkStart w:id="732" w:name="_Toc483401214"/>
      <w:bookmarkStart w:id="733" w:name="_Toc483325735"/>
      <w:bookmarkStart w:id="734" w:name="_Toc483316432"/>
      <w:bookmarkStart w:id="735" w:name="_Toc483316301"/>
      <w:bookmarkStart w:id="736" w:name="_Toc483316098"/>
      <w:bookmarkStart w:id="737" w:name="_Toc483315893"/>
      <w:bookmarkStart w:id="738" w:name="_Toc483302343"/>
      <w:bookmarkStart w:id="739" w:name="_Toc483233643"/>
      <w:bookmarkStart w:id="740" w:name="_Toc482979682"/>
      <w:bookmarkStart w:id="741" w:name="_Toc482979584"/>
      <w:bookmarkStart w:id="742" w:name="_Toc482979475"/>
      <w:bookmarkStart w:id="743" w:name="_Toc482979367"/>
      <w:bookmarkStart w:id="744" w:name="_Toc482979258"/>
      <w:bookmarkStart w:id="745" w:name="_Toc482979149"/>
      <w:bookmarkStart w:id="746" w:name="_Toc482979038"/>
      <w:bookmarkStart w:id="747" w:name="_Toc482978930"/>
      <w:bookmarkStart w:id="748" w:name="_Toc482978821"/>
      <w:bookmarkStart w:id="749" w:name="_Toc482959702"/>
      <w:bookmarkStart w:id="750" w:name="_Toc482959592"/>
      <w:bookmarkStart w:id="751" w:name="_Toc482959482"/>
      <w:bookmarkStart w:id="752" w:name="_Toc482712712"/>
      <w:bookmarkStart w:id="753" w:name="_Toc482641266"/>
      <w:bookmarkStart w:id="754" w:name="_Toc482633089"/>
      <w:bookmarkStart w:id="755" w:name="_Toc482352249"/>
      <w:bookmarkStart w:id="756" w:name="_Toc482352159"/>
      <w:bookmarkStart w:id="757" w:name="_Toc482352069"/>
      <w:bookmarkStart w:id="758" w:name="_Toc482351979"/>
      <w:bookmarkStart w:id="759" w:name="_Toc482102115"/>
      <w:bookmarkStart w:id="760" w:name="_Toc482102021"/>
      <w:bookmarkStart w:id="761" w:name="_Toc482101926"/>
      <w:bookmarkStart w:id="762" w:name="_Toc482101831"/>
      <w:bookmarkStart w:id="763" w:name="_Toc482101738"/>
      <w:bookmarkStart w:id="764" w:name="_Toc482101563"/>
      <w:bookmarkStart w:id="765" w:name="_Toc482101448"/>
      <w:bookmarkStart w:id="766" w:name="_Toc482101311"/>
      <w:bookmarkStart w:id="767" w:name="_Toc482100885"/>
      <w:bookmarkStart w:id="768" w:name="_Toc482100728"/>
      <w:bookmarkStart w:id="769" w:name="_Toc482099011"/>
      <w:bookmarkStart w:id="770" w:name="_Toc482097913"/>
      <w:bookmarkStart w:id="771" w:name="_Toc482097721"/>
      <w:bookmarkStart w:id="772" w:name="_Toc482097632"/>
      <w:bookmarkStart w:id="773" w:name="_Toc482097543"/>
      <w:bookmarkStart w:id="774" w:name="_Toc482025720"/>
      <w:bookmarkStart w:id="775" w:name="_Toc485218268"/>
      <w:bookmarkStart w:id="776" w:name="_Toc484688832"/>
      <w:bookmarkStart w:id="777" w:name="_Toc484688277"/>
      <w:bookmarkStart w:id="778" w:name="_Toc484605408"/>
      <w:bookmarkStart w:id="779" w:name="_Toc484605284"/>
      <w:bookmarkStart w:id="780" w:name="_Toc484526564"/>
      <w:bookmarkStart w:id="781" w:name="_Toc484449069"/>
      <w:bookmarkStart w:id="782" w:name="_Toc484448945"/>
      <w:bookmarkStart w:id="783" w:name="_Toc484448821"/>
      <w:bookmarkStart w:id="784" w:name="_Toc484448698"/>
      <w:bookmarkStart w:id="785" w:name="_Toc484448574"/>
      <w:bookmarkStart w:id="786" w:name="_Toc484448450"/>
      <w:bookmarkStart w:id="787" w:name="_Toc484448326"/>
      <w:bookmarkStart w:id="788" w:name="_Toc484448202"/>
      <w:bookmarkStart w:id="789" w:name="_Toc484448077"/>
      <w:bookmarkStart w:id="790" w:name="_Toc484440418"/>
      <w:bookmarkStart w:id="791" w:name="_Toc484440058"/>
      <w:bookmarkStart w:id="792" w:name="_Toc484439934"/>
      <w:bookmarkStart w:id="793" w:name="_Toc484439811"/>
      <w:bookmarkStart w:id="794" w:name="_Toc484438891"/>
      <w:bookmarkStart w:id="795" w:name="_Toc484438767"/>
      <w:bookmarkStart w:id="796" w:name="_Toc484438643"/>
      <w:bookmarkStart w:id="797" w:name="_Toc484429068"/>
      <w:bookmarkStart w:id="798" w:name="_Toc484428898"/>
      <w:bookmarkStart w:id="799" w:name="_Toc484097726"/>
      <w:bookmarkStart w:id="800" w:name="_Toc484011652"/>
      <w:bookmarkStart w:id="801" w:name="_Toc484011177"/>
      <w:bookmarkStart w:id="802" w:name="_Toc484011055"/>
      <w:bookmarkStart w:id="803" w:name="_Toc484010933"/>
      <w:bookmarkStart w:id="804" w:name="_Toc484010809"/>
      <w:bookmarkStart w:id="805" w:name="_Toc484010687"/>
      <w:bookmarkStart w:id="806" w:name="_Toc483906937"/>
      <w:bookmarkStart w:id="807" w:name="_Toc483571560"/>
      <w:bookmarkStart w:id="808" w:name="_Toc483571439"/>
      <w:bookmarkStart w:id="809" w:name="_Toc483474010"/>
      <w:bookmarkStart w:id="810" w:name="_Toc483401213"/>
      <w:bookmarkStart w:id="811" w:name="_Toc483325734"/>
      <w:bookmarkStart w:id="812" w:name="_Toc483316431"/>
      <w:bookmarkStart w:id="813" w:name="_Toc483316300"/>
      <w:bookmarkStart w:id="814" w:name="_Toc483316097"/>
      <w:bookmarkStart w:id="815" w:name="_Toc483315892"/>
      <w:bookmarkStart w:id="816" w:name="_Toc483302342"/>
      <w:bookmarkStart w:id="817" w:name="_Toc483233642"/>
      <w:bookmarkStart w:id="818" w:name="_Toc482979681"/>
      <w:bookmarkStart w:id="819" w:name="_Toc482979583"/>
      <w:bookmarkStart w:id="820" w:name="_Toc482979474"/>
      <w:bookmarkStart w:id="821" w:name="_Toc482979366"/>
      <w:bookmarkStart w:id="822" w:name="_Toc482979257"/>
      <w:bookmarkStart w:id="823" w:name="_Toc482979148"/>
      <w:bookmarkStart w:id="824" w:name="_Toc482979037"/>
      <w:bookmarkStart w:id="825" w:name="_Toc482978929"/>
      <w:bookmarkStart w:id="826" w:name="_Toc482978820"/>
      <w:bookmarkStart w:id="827" w:name="_Toc482959701"/>
      <w:bookmarkStart w:id="828" w:name="_Toc482959591"/>
      <w:bookmarkStart w:id="829" w:name="_Toc482959481"/>
      <w:bookmarkStart w:id="830" w:name="_Toc482712711"/>
      <w:bookmarkStart w:id="831" w:name="_Toc482641265"/>
      <w:bookmarkStart w:id="832" w:name="_Toc482633088"/>
      <w:bookmarkStart w:id="833" w:name="_Toc482352248"/>
      <w:bookmarkStart w:id="834" w:name="_Toc482352158"/>
      <w:bookmarkStart w:id="835" w:name="_Toc482352068"/>
      <w:bookmarkStart w:id="836" w:name="_Toc482351978"/>
      <w:bookmarkStart w:id="837" w:name="_Toc482102114"/>
      <w:bookmarkStart w:id="838" w:name="_Toc482102020"/>
      <w:bookmarkStart w:id="839" w:name="_Toc482101925"/>
      <w:bookmarkStart w:id="840" w:name="_Toc482101830"/>
      <w:bookmarkStart w:id="841" w:name="_Toc482101737"/>
      <w:bookmarkStart w:id="842" w:name="_Toc482101562"/>
      <w:bookmarkStart w:id="843" w:name="_Toc482101447"/>
      <w:bookmarkStart w:id="844" w:name="_Toc482101310"/>
      <w:bookmarkStart w:id="845" w:name="_Toc482100884"/>
      <w:bookmarkStart w:id="846" w:name="_Toc482100727"/>
      <w:bookmarkStart w:id="847" w:name="_Toc482099010"/>
      <w:bookmarkStart w:id="848" w:name="_Toc482097912"/>
      <w:bookmarkStart w:id="849" w:name="_Toc482097720"/>
      <w:bookmarkStart w:id="850" w:name="_Toc482097631"/>
      <w:bookmarkStart w:id="851" w:name="_Toc482097542"/>
      <w:bookmarkStart w:id="852" w:name="_Toc482025719"/>
      <w:bookmarkStart w:id="853" w:name="_Toc485218267"/>
      <w:bookmarkStart w:id="854" w:name="_Toc484688831"/>
      <w:bookmarkStart w:id="855" w:name="_Toc484688276"/>
      <w:bookmarkStart w:id="856" w:name="_Toc484605407"/>
      <w:bookmarkStart w:id="857" w:name="_Toc484605283"/>
      <w:bookmarkStart w:id="858" w:name="_Toc484526563"/>
      <w:bookmarkStart w:id="859" w:name="_Toc484449068"/>
      <w:bookmarkStart w:id="860" w:name="_Toc484448944"/>
      <w:bookmarkStart w:id="861" w:name="_Toc484448820"/>
      <w:bookmarkStart w:id="862" w:name="_Toc484448697"/>
      <w:bookmarkStart w:id="863" w:name="_Toc484448573"/>
      <w:bookmarkStart w:id="864" w:name="_Toc484448449"/>
      <w:bookmarkStart w:id="865" w:name="_Toc484448325"/>
      <w:bookmarkStart w:id="866" w:name="_Toc484448201"/>
      <w:bookmarkStart w:id="867" w:name="_Toc484448076"/>
      <w:bookmarkStart w:id="868" w:name="_Toc484440417"/>
      <w:bookmarkStart w:id="869" w:name="_Toc484440057"/>
      <w:bookmarkStart w:id="870" w:name="_Toc484439933"/>
      <w:bookmarkStart w:id="871" w:name="_Toc484439810"/>
      <w:bookmarkStart w:id="872" w:name="_Toc484438890"/>
      <w:bookmarkStart w:id="873" w:name="_Toc484438766"/>
      <w:bookmarkStart w:id="874" w:name="_Toc484438642"/>
      <w:bookmarkStart w:id="875" w:name="_Toc484429067"/>
      <w:bookmarkStart w:id="876" w:name="_Toc484428897"/>
      <w:bookmarkStart w:id="877" w:name="_Toc484097725"/>
      <w:bookmarkStart w:id="878" w:name="_Toc484011651"/>
      <w:bookmarkStart w:id="879" w:name="_Toc484011176"/>
      <w:bookmarkStart w:id="880" w:name="_Toc484011054"/>
      <w:bookmarkStart w:id="881" w:name="_Toc484010932"/>
      <w:bookmarkStart w:id="882" w:name="_Toc484010808"/>
      <w:bookmarkStart w:id="883" w:name="_Toc484010686"/>
      <w:bookmarkStart w:id="884" w:name="_Toc483906936"/>
      <w:bookmarkStart w:id="885" w:name="_Toc483571559"/>
      <w:bookmarkStart w:id="886" w:name="_Toc483571438"/>
      <w:bookmarkStart w:id="887" w:name="_Toc483474009"/>
      <w:bookmarkStart w:id="888" w:name="_Toc483401212"/>
      <w:bookmarkStart w:id="889" w:name="_Toc483325733"/>
      <w:bookmarkStart w:id="890" w:name="_Toc483316430"/>
      <w:bookmarkStart w:id="891" w:name="_Toc483316299"/>
      <w:bookmarkStart w:id="892" w:name="_Toc483316096"/>
      <w:bookmarkStart w:id="893" w:name="_Toc483315891"/>
      <w:bookmarkStart w:id="894" w:name="_Toc483302341"/>
      <w:bookmarkStart w:id="895" w:name="_Toc483233641"/>
      <w:bookmarkStart w:id="896" w:name="_Toc482979680"/>
      <w:bookmarkStart w:id="897" w:name="_Toc482979582"/>
      <w:bookmarkStart w:id="898" w:name="_Toc482979473"/>
      <w:bookmarkStart w:id="899" w:name="_Toc482979365"/>
      <w:bookmarkStart w:id="900" w:name="_Toc482979256"/>
      <w:bookmarkStart w:id="901" w:name="_Toc482979147"/>
      <w:bookmarkStart w:id="902" w:name="_Toc482979036"/>
      <w:bookmarkStart w:id="903" w:name="_Toc482978928"/>
      <w:bookmarkStart w:id="904" w:name="_Toc482978819"/>
      <w:bookmarkStart w:id="905" w:name="_Toc482959700"/>
      <w:bookmarkStart w:id="906" w:name="_Toc482959590"/>
      <w:bookmarkStart w:id="907" w:name="_Toc482959480"/>
      <w:bookmarkStart w:id="908" w:name="_Toc482712710"/>
      <w:bookmarkStart w:id="909" w:name="_Toc482641264"/>
      <w:bookmarkStart w:id="910" w:name="_Toc482633087"/>
      <w:bookmarkStart w:id="911" w:name="_Toc482352247"/>
      <w:bookmarkStart w:id="912" w:name="_Toc482352157"/>
      <w:bookmarkStart w:id="913" w:name="_Toc482352067"/>
      <w:bookmarkStart w:id="914" w:name="_Toc482351977"/>
      <w:bookmarkStart w:id="915" w:name="_Toc482102113"/>
      <w:bookmarkStart w:id="916" w:name="_Toc482102019"/>
      <w:bookmarkStart w:id="917" w:name="_Toc482101924"/>
      <w:bookmarkStart w:id="918" w:name="_Toc482101829"/>
      <w:bookmarkStart w:id="919" w:name="_Toc482101736"/>
      <w:bookmarkStart w:id="920" w:name="_Toc482101561"/>
      <w:bookmarkStart w:id="921" w:name="_Toc482101446"/>
      <w:bookmarkStart w:id="922" w:name="_Toc482101309"/>
      <w:bookmarkStart w:id="923" w:name="_Toc482100883"/>
      <w:bookmarkStart w:id="924" w:name="_Toc482100726"/>
      <w:bookmarkStart w:id="925" w:name="_Toc482099009"/>
      <w:bookmarkStart w:id="926" w:name="_Toc482097911"/>
      <w:bookmarkStart w:id="927" w:name="_Toc482097719"/>
      <w:bookmarkStart w:id="928" w:name="_Toc482097630"/>
      <w:bookmarkStart w:id="929" w:name="_Toc482097541"/>
      <w:bookmarkStart w:id="930" w:name="_Toc482025718"/>
      <w:bookmarkStart w:id="931" w:name="_Toc485218266"/>
      <w:bookmarkStart w:id="932" w:name="_Toc484688830"/>
      <w:bookmarkStart w:id="933" w:name="_Toc484688275"/>
      <w:bookmarkStart w:id="934" w:name="_Toc484605406"/>
      <w:bookmarkStart w:id="935" w:name="_Toc484605282"/>
      <w:bookmarkStart w:id="936" w:name="_Toc484526562"/>
      <w:bookmarkStart w:id="937" w:name="_Toc484449067"/>
      <w:bookmarkStart w:id="938" w:name="_Toc484448943"/>
      <w:bookmarkStart w:id="939" w:name="_Toc484448819"/>
      <w:bookmarkStart w:id="940" w:name="_Toc484448696"/>
      <w:bookmarkStart w:id="941" w:name="_Toc484448572"/>
      <w:bookmarkStart w:id="942" w:name="_Toc484448448"/>
      <w:bookmarkStart w:id="943" w:name="_Toc484448324"/>
      <w:bookmarkStart w:id="944" w:name="_Toc484448200"/>
      <w:bookmarkStart w:id="945" w:name="_Toc484448075"/>
      <w:bookmarkStart w:id="946" w:name="_Toc484440416"/>
      <w:bookmarkStart w:id="947" w:name="_Toc484440056"/>
      <w:bookmarkStart w:id="948" w:name="_Toc484439932"/>
      <w:bookmarkStart w:id="949" w:name="_Toc484439809"/>
      <w:bookmarkStart w:id="950" w:name="_Toc484438889"/>
      <w:bookmarkStart w:id="951" w:name="_Toc484438765"/>
      <w:bookmarkStart w:id="952" w:name="_Toc484438641"/>
      <w:bookmarkStart w:id="953" w:name="_Toc484429066"/>
      <w:bookmarkStart w:id="954" w:name="_Toc484428896"/>
      <w:bookmarkStart w:id="955" w:name="_Toc484097724"/>
      <w:bookmarkStart w:id="956" w:name="_Toc484011650"/>
      <w:bookmarkStart w:id="957" w:name="_Toc484011175"/>
      <w:bookmarkStart w:id="958" w:name="_Toc484011053"/>
      <w:bookmarkStart w:id="959" w:name="_Toc484010931"/>
      <w:bookmarkStart w:id="960" w:name="_Toc484010807"/>
      <w:bookmarkStart w:id="961" w:name="_Toc484010685"/>
      <w:bookmarkStart w:id="962" w:name="_Toc483906935"/>
      <w:bookmarkStart w:id="963" w:name="_Toc483571558"/>
      <w:bookmarkStart w:id="964" w:name="_Toc483571437"/>
      <w:bookmarkStart w:id="965" w:name="_Toc483474008"/>
      <w:bookmarkStart w:id="966" w:name="_Toc483401211"/>
      <w:bookmarkStart w:id="967" w:name="_Toc483325732"/>
      <w:bookmarkStart w:id="968" w:name="_Toc483316429"/>
      <w:bookmarkStart w:id="969" w:name="_Toc483316298"/>
      <w:bookmarkStart w:id="970" w:name="_Toc483316095"/>
      <w:bookmarkStart w:id="971" w:name="_Toc483315890"/>
      <w:bookmarkStart w:id="972" w:name="_Toc483302340"/>
      <w:bookmarkStart w:id="973" w:name="_Toc483233640"/>
      <w:bookmarkStart w:id="974" w:name="_Toc482979679"/>
      <w:bookmarkStart w:id="975" w:name="_Toc482979581"/>
      <w:bookmarkStart w:id="976" w:name="_Toc482979472"/>
      <w:bookmarkStart w:id="977" w:name="_Toc482979364"/>
      <w:bookmarkStart w:id="978" w:name="_Toc482979255"/>
      <w:bookmarkStart w:id="979" w:name="_Toc482979146"/>
      <w:bookmarkStart w:id="980" w:name="_Toc482979035"/>
      <w:bookmarkStart w:id="981" w:name="_Toc482978927"/>
      <w:bookmarkStart w:id="982" w:name="_Toc482978818"/>
      <w:bookmarkStart w:id="983" w:name="_Toc482959699"/>
      <w:bookmarkStart w:id="984" w:name="_Toc482959589"/>
      <w:bookmarkStart w:id="985" w:name="_Toc482959479"/>
      <w:bookmarkStart w:id="986" w:name="_Toc482712709"/>
      <w:bookmarkStart w:id="987" w:name="_Toc482641263"/>
      <w:bookmarkStart w:id="988" w:name="_Toc482633086"/>
      <w:bookmarkStart w:id="989" w:name="_Toc482352246"/>
      <w:bookmarkStart w:id="990" w:name="_Toc482352156"/>
      <w:bookmarkStart w:id="991" w:name="_Toc482352066"/>
      <w:bookmarkStart w:id="992" w:name="_Toc482351976"/>
      <w:bookmarkStart w:id="993" w:name="_Toc482102112"/>
      <w:bookmarkStart w:id="994" w:name="_Toc482102018"/>
      <w:bookmarkStart w:id="995" w:name="_Toc482101923"/>
      <w:bookmarkStart w:id="996" w:name="_Toc482101828"/>
      <w:bookmarkStart w:id="997" w:name="_Toc482101735"/>
      <w:bookmarkStart w:id="998" w:name="_Toc482101560"/>
      <w:bookmarkStart w:id="999" w:name="_Toc482101445"/>
      <w:bookmarkStart w:id="1000" w:name="_Toc482101308"/>
      <w:bookmarkStart w:id="1001" w:name="_Toc482100882"/>
      <w:bookmarkStart w:id="1002" w:name="_Toc482100725"/>
      <w:bookmarkStart w:id="1003" w:name="_Toc482099008"/>
      <w:bookmarkStart w:id="1004" w:name="_Toc482097910"/>
      <w:bookmarkStart w:id="1005" w:name="_Toc482097718"/>
      <w:bookmarkStart w:id="1006" w:name="_Toc482097629"/>
      <w:bookmarkStart w:id="1007" w:name="_Toc482097540"/>
      <w:bookmarkStart w:id="1008" w:name="_Toc482025717"/>
      <w:bookmarkStart w:id="1009" w:name="_Toc485218265"/>
      <w:bookmarkStart w:id="1010" w:name="_Toc484688829"/>
      <w:bookmarkStart w:id="1011" w:name="_Toc484688274"/>
      <w:bookmarkStart w:id="1012" w:name="_Toc484605405"/>
      <w:bookmarkStart w:id="1013" w:name="_Toc484605281"/>
      <w:bookmarkStart w:id="1014" w:name="_Toc484526561"/>
      <w:bookmarkStart w:id="1015" w:name="_Toc484449066"/>
      <w:bookmarkStart w:id="1016" w:name="_Toc484448942"/>
      <w:bookmarkStart w:id="1017" w:name="_Toc484448818"/>
      <w:bookmarkStart w:id="1018" w:name="_Toc484448695"/>
      <w:bookmarkStart w:id="1019" w:name="_Toc484448571"/>
      <w:bookmarkStart w:id="1020" w:name="_Toc484448447"/>
      <w:bookmarkStart w:id="1021" w:name="_Toc484448323"/>
      <w:bookmarkStart w:id="1022" w:name="_Toc484448199"/>
      <w:bookmarkStart w:id="1023" w:name="_Toc484448074"/>
      <w:bookmarkStart w:id="1024" w:name="_Toc484440415"/>
      <w:bookmarkStart w:id="1025" w:name="_Toc484440055"/>
      <w:bookmarkStart w:id="1026" w:name="_Toc484439931"/>
      <w:bookmarkStart w:id="1027" w:name="_Toc484439808"/>
      <w:bookmarkStart w:id="1028" w:name="_Toc484438888"/>
      <w:bookmarkStart w:id="1029" w:name="_Toc484438764"/>
      <w:bookmarkStart w:id="1030" w:name="_Toc484438640"/>
      <w:bookmarkStart w:id="1031" w:name="_Toc484429065"/>
      <w:bookmarkStart w:id="1032" w:name="_Toc484428895"/>
      <w:bookmarkStart w:id="1033" w:name="_Toc484097723"/>
      <w:bookmarkStart w:id="1034" w:name="_Toc484011649"/>
      <w:bookmarkStart w:id="1035" w:name="_Toc484011174"/>
      <w:bookmarkStart w:id="1036" w:name="_Toc484011052"/>
      <w:bookmarkStart w:id="1037" w:name="_Toc484010930"/>
      <w:bookmarkStart w:id="1038" w:name="_Toc484010806"/>
      <w:bookmarkStart w:id="1039" w:name="_Toc484010684"/>
      <w:bookmarkStart w:id="1040" w:name="_Toc483906934"/>
      <w:bookmarkStart w:id="1041" w:name="_Toc483571557"/>
      <w:bookmarkStart w:id="1042" w:name="_Toc483571436"/>
      <w:bookmarkStart w:id="1043" w:name="_Toc483474007"/>
      <w:bookmarkStart w:id="1044" w:name="_Toc483401210"/>
      <w:bookmarkStart w:id="1045" w:name="_Toc483325731"/>
      <w:bookmarkStart w:id="1046" w:name="_Toc483316428"/>
      <w:bookmarkStart w:id="1047" w:name="_Toc483316297"/>
      <w:bookmarkStart w:id="1048" w:name="_Toc483316094"/>
      <w:bookmarkStart w:id="1049" w:name="_Toc483315889"/>
      <w:bookmarkStart w:id="1050" w:name="_Toc483302339"/>
      <w:bookmarkStart w:id="1051" w:name="_Toc483233639"/>
      <w:bookmarkStart w:id="1052" w:name="_Toc482979678"/>
      <w:bookmarkStart w:id="1053" w:name="_Toc482979580"/>
      <w:bookmarkStart w:id="1054" w:name="_Toc482979471"/>
      <w:bookmarkStart w:id="1055" w:name="_Toc482979363"/>
      <w:bookmarkStart w:id="1056" w:name="_Toc482979254"/>
      <w:bookmarkStart w:id="1057" w:name="_Toc482979145"/>
      <w:bookmarkStart w:id="1058" w:name="_Toc482979034"/>
      <w:bookmarkStart w:id="1059" w:name="_Toc482978926"/>
      <w:bookmarkStart w:id="1060" w:name="_Toc482978817"/>
      <w:bookmarkStart w:id="1061" w:name="_Toc482959698"/>
      <w:bookmarkStart w:id="1062" w:name="_Toc482959588"/>
      <w:bookmarkStart w:id="1063" w:name="_Toc482959478"/>
      <w:bookmarkStart w:id="1064" w:name="_Toc482712708"/>
      <w:bookmarkStart w:id="1065" w:name="_Toc482641262"/>
      <w:bookmarkStart w:id="1066" w:name="_Toc482633085"/>
      <w:bookmarkStart w:id="1067" w:name="_Toc482352245"/>
      <w:bookmarkStart w:id="1068" w:name="_Toc482352155"/>
      <w:bookmarkStart w:id="1069" w:name="_Toc482352065"/>
      <w:bookmarkStart w:id="1070" w:name="_Toc482351975"/>
      <w:bookmarkStart w:id="1071" w:name="_Toc482102111"/>
      <w:bookmarkStart w:id="1072" w:name="_Toc482102017"/>
      <w:bookmarkStart w:id="1073" w:name="_Toc482101922"/>
      <w:bookmarkStart w:id="1074" w:name="_Toc482101827"/>
      <w:bookmarkStart w:id="1075" w:name="_Toc482101734"/>
      <w:bookmarkStart w:id="1076" w:name="_Toc482101559"/>
      <w:bookmarkStart w:id="1077" w:name="_Toc482101444"/>
      <w:bookmarkStart w:id="1078" w:name="_Toc482101307"/>
      <w:bookmarkStart w:id="1079" w:name="_Toc482100881"/>
      <w:bookmarkStart w:id="1080" w:name="_Toc482100724"/>
      <w:bookmarkStart w:id="1081" w:name="_Toc482099007"/>
      <w:bookmarkStart w:id="1082" w:name="_Toc482097909"/>
      <w:bookmarkStart w:id="1083" w:name="_Toc482097717"/>
      <w:bookmarkStart w:id="1084" w:name="_Toc482097628"/>
      <w:bookmarkStart w:id="1085" w:name="_Toc482097539"/>
      <w:bookmarkStart w:id="1086" w:name="_Toc482025716"/>
      <w:bookmarkStart w:id="1087" w:name="_Toc485218264"/>
      <w:bookmarkStart w:id="1088" w:name="_Toc484688828"/>
      <w:bookmarkStart w:id="1089" w:name="_Toc484688273"/>
      <w:bookmarkStart w:id="1090" w:name="_Toc484605404"/>
      <w:bookmarkStart w:id="1091" w:name="_Toc484605280"/>
      <w:bookmarkStart w:id="1092" w:name="_Toc484526560"/>
      <w:bookmarkStart w:id="1093" w:name="_Toc484449065"/>
      <w:bookmarkStart w:id="1094" w:name="_Toc484448941"/>
      <w:bookmarkStart w:id="1095" w:name="_Toc484448817"/>
      <w:bookmarkStart w:id="1096" w:name="_Toc484448694"/>
      <w:bookmarkStart w:id="1097" w:name="_Toc484448570"/>
      <w:bookmarkStart w:id="1098" w:name="_Toc484448446"/>
      <w:bookmarkStart w:id="1099" w:name="_Toc484448322"/>
      <w:bookmarkStart w:id="1100" w:name="_Toc484448198"/>
      <w:bookmarkStart w:id="1101" w:name="_Toc484448073"/>
      <w:bookmarkStart w:id="1102" w:name="_Toc484440414"/>
      <w:bookmarkStart w:id="1103" w:name="_Toc484440054"/>
      <w:bookmarkStart w:id="1104" w:name="_Toc484439930"/>
      <w:bookmarkStart w:id="1105" w:name="_Toc484439807"/>
      <w:bookmarkStart w:id="1106" w:name="_Toc484438887"/>
      <w:bookmarkStart w:id="1107" w:name="_Toc484438763"/>
      <w:bookmarkStart w:id="1108" w:name="_Toc484438639"/>
      <w:bookmarkStart w:id="1109" w:name="_Toc484429064"/>
      <w:bookmarkStart w:id="1110" w:name="_Toc484428894"/>
      <w:bookmarkStart w:id="1111" w:name="_Toc484097722"/>
      <w:bookmarkStart w:id="1112" w:name="_Toc484011648"/>
      <w:bookmarkStart w:id="1113" w:name="_Toc484011173"/>
      <w:bookmarkStart w:id="1114" w:name="_Toc484011051"/>
      <w:bookmarkStart w:id="1115" w:name="_Toc484010929"/>
      <w:bookmarkStart w:id="1116" w:name="_Toc484010805"/>
      <w:bookmarkStart w:id="1117" w:name="_Toc484010683"/>
      <w:bookmarkStart w:id="1118" w:name="_Toc483906933"/>
      <w:bookmarkStart w:id="1119" w:name="_Toc483571556"/>
      <w:bookmarkStart w:id="1120" w:name="_Toc483571435"/>
      <w:bookmarkStart w:id="1121" w:name="_Toc483474006"/>
      <w:bookmarkStart w:id="1122" w:name="_Toc483401209"/>
      <w:bookmarkStart w:id="1123" w:name="_Toc483325730"/>
      <w:bookmarkStart w:id="1124" w:name="_Toc483316427"/>
      <w:bookmarkStart w:id="1125" w:name="_Toc483316296"/>
      <w:bookmarkStart w:id="1126" w:name="_Toc483316093"/>
      <w:bookmarkStart w:id="1127" w:name="_Toc483315888"/>
      <w:bookmarkStart w:id="1128" w:name="_Toc483302338"/>
      <w:bookmarkStart w:id="1129" w:name="_Toc483233638"/>
      <w:bookmarkStart w:id="1130" w:name="_Toc482979677"/>
      <w:bookmarkStart w:id="1131" w:name="_Toc482979579"/>
      <w:bookmarkStart w:id="1132" w:name="_Toc482979470"/>
      <w:bookmarkStart w:id="1133" w:name="_Toc482979362"/>
      <w:bookmarkStart w:id="1134" w:name="_Toc482979253"/>
      <w:bookmarkStart w:id="1135" w:name="_Toc482979144"/>
      <w:bookmarkStart w:id="1136" w:name="_Toc482979033"/>
      <w:bookmarkStart w:id="1137" w:name="_Toc482978925"/>
      <w:bookmarkStart w:id="1138" w:name="_Toc482978816"/>
      <w:bookmarkStart w:id="1139" w:name="_Toc482959697"/>
      <w:bookmarkStart w:id="1140" w:name="_Toc482959587"/>
      <w:bookmarkStart w:id="1141" w:name="_Toc482959477"/>
      <w:bookmarkStart w:id="1142" w:name="_Toc482712707"/>
      <w:bookmarkStart w:id="1143" w:name="_Toc482641261"/>
      <w:bookmarkStart w:id="1144" w:name="_Toc482633084"/>
      <w:bookmarkStart w:id="1145" w:name="_Toc482352244"/>
      <w:bookmarkStart w:id="1146" w:name="_Toc482352154"/>
      <w:bookmarkStart w:id="1147" w:name="_Toc482352064"/>
      <w:bookmarkStart w:id="1148" w:name="_Toc482351974"/>
      <w:bookmarkStart w:id="1149" w:name="_Toc482102110"/>
      <w:bookmarkStart w:id="1150" w:name="_Toc482102016"/>
      <w:bookmarkStart w:id="1151" w:name="_Toc482101921"/>
      <w:bookmarkStart w:id="1152" w:name="_Toc482101826"/>
      <w:bookmarkStart w:id="1153" w:name="_Toc482101733"/>
      <w:bookmarkStart w:id="1154" w:name="_Toc482101558"/>
      <w:bookmarkStart w:id="1155" w:name="_Toc482101443"/>
      <w:bookmarkStart w:id="1156" w:name="_Toc482101306"/>
      <w:bookmarkStart w:id="1157" w:name="_Toc482100880"/>
      <w:bookmarkStart w:id="1158" w:name="_Toc482100723"/>
      <w:bookmarkStart w:id="1159" w:name="_Toc482099006"/>
      <w:bookmarkStart w:id="1160" w:name="_Toc482097908"/>
      <w:bookmarkStart w:id="1161" w:name="_Toc482097716"/>
      <w:bookmarkStart w:id="1162" w:name="_Toc482097627"/>
      <w:bookmarkStart w:id="1163" w:name="_Toc482097538"/>
      <w:bookmarkStart w:id="1164" w:name="_Toc482025715"/>
      <w:bookmarkStart w:id="1165" w:name="_Toc485218263"/>
      <w:bookmarkStart w:id="1166" w:name="_Toc484688827"/>
      <w:bookmarkStart w:id="1167" w:name="_Toc484688272"/>
      <w:bookmarkStart w:id="1168" w:name="_Toc484605403"/>
      <w:bookmarkStart w:id="1169" w:name="_Toc484605279"/>
      <w:bookmarkStart w:id="1170" w:name="_Toc484526559"/>
      <w:bookmarkStart w:id="1171" w:name="_Toc484449064"/>
      <w:bookmarkStart w:id="1172" w:name="_Toc484448940"/>
      <w:bookmarkStart w:id="1173" w:name="_Toc484448816"/>
      <w:bookmarkStart w:id="1174" w:name="_Toc484448693"/>
      <w:bookmarkStart w:id="1175" w:name="_Toc484448569"/>
      <w:bookmarkStart w:id="1176" w:name="_Toc484448445"/>
      <w:bookmarkStart w:id="1177" w:name="_Toc484448321"/>
      <w:bookmarkStart w:id="1178" w:name="_Toc484448197"/>
      <w:bookmarkStart w:id="1179" w:name="_Toc484448072"/>
      <w:bookmarkStart w:id="1180" w:name="_Toc484440413"/>
      <w:bookmarkStart w:id="1181" w:name="_Toc484440053"/>
      <w:bookmarkStart w:id="1182" w:name="_Toc484439929"/>
      <w:bookmarkStart w:id="1183" w:name="_Toc484439806"/>
      <w:bookmarkStart w:id="1184" w:name="_Toc484438886"/>
      <w:bookmarkStart w:id="1185" w:name="_Toc484438762"/>
      <w:bookmarkStart w:id="1186" w:name="_Toc484438638"/>
      <w:bookmarkStart w:id="1187" w:name="_Toc484429063"/>
      <w:bookmarkStart w:id="1188" w:name="_Toc484428893"/>
      <w:bookmarkStart w:id="1189" w:name="_Toc484097721"/>
      <w:bookmarkStart w:id="1190" w:name="_Toc484011647"/>
      <w:bookmarkStart w:id="1191" w:name="_Toc484011172"/>
      <w:bookmarkStart w:id="1192" w:name="_Toc484011050"/>
      <w:bookmarkStart w:id="1193" w:name="_Toc484010928"/>
      <w:bookmarkStart w:id="1194" w:name="_Toc484010804"/>
      <w:bookmarkStart w:id="1195" w:name="_Toc484010682"/>
      <w:bookmarkStart w:id="1196" w:name="_Toc483906932"/>
      <w:bookmarkStart w:id="1197" w:name="_Toc483571555"/>
      <w:bookmarkStart w:id="1198" w:name="_Toc483571434"/>
      <w:bookmarkStart w:id="1199" w:name="_Toc483474005"/>
      <w:bookmarkStart w:id="1200" w:name="_Toc483401208"/>
      <w:bookmarkStart w:id="1201" w:name="_Toc483325729"/>
      <w:bookmarkStart w:id="1202" w:name="_Toc483316426"/>
      <w:bookmarkStart w:id="1203" w:name="_Toc483316295"/>
      <w:bookmarkStart w:id="1204" w:name="_Toc483316092"/>
      <w:bookmarkStart w:id="1205" w:name="_Toc483315887"/>
      <w:bookmarkStart w:id="1206" w:name="_Toc483302337"/>
      <w:bookmarkStart w:id="1207" w:name="_Toc483233637"/>
      <w:bookmarkStart w:id="1208" w:name="_Toc482979676"/>
      <w:bookmarkStart w:id="1209" w:name="_Toc482979578"/>
      <w:bookmarkStart w:id="1210" w:name="_Toc482979469"/>
      <w:bookmarkStart w:id="1211" w:name="_Toc482979361"/>
      <w:bookmarkStart w:id="1212" w:name="_Toc482979252"/>
      <w:bookmarkStart w:id="1213" w:name="_Toc482979143"/>
      <w:bookmarkStart w:id="1214" w:name="_Toc482979032"/>
      <w:bookmarkStart w:id="1215" w:name="_Toc482978924"/>
      <w:bookmarkStart w:id="1216" w:name="_Toc482978815"/>
      <w:bookmarkStart w:id="1217" w:name="_Toc482959696"/>
      <w:bookmarkStart w:id="1218" w:name="_Toc482959586"/>
      <w:bookmarkStart w:id="1219" w:name="_Toc482959476"/>
      <w:bookmarkStart w:id="1220" w:name="_Toc482712706"/>
      <w:bookmarkStart w:id="1221" w:name="_Toc482641260"/>
      <w:bookmarkStart w:id="1222" w:name="_Toc482633083"/>
      <w:bookmarkStart w:id="1223" w:name="_Toc482352243"/>
      <w:bookmarkStart w:id="1224" w:name="_Toc482352153"/>
      <w:bookmarkStart w:id="1225" w:name="_Toc482352063"/>
      <w:bookmarkStart w:id="1226" w:name="_Toc482351973"/>
      <w:bookmarkStart w:id="1227" w:name="_Toc482102109"/>
      <w:bookmarkStart w:id="1228" w:name="_Toc482102015"/>
      <w:bookmarkStart w:id="1229" w:name="_Toc482101920"/>
      <w:bookmarkStart w:id="1230" w:name="_Toc482101825"/>
      <w:bookmarkStart w:id="1231" w:name="_Toc482101732"/>
      <w:bookmarkStart w:id="1232" w:name="_Toc482101557"/>
      <w:bookmarkStart w:id="1233" w:name="_Toc482101442"/>
      <w:bookmarkStart w:id="1234" w:name="_Toc482101305"/>
      <w:bookmarkStart w:id="1235" w:name="_Toc482100879"/>
      <w:bookmarkStart w:id="1236" w:name="_Toc482100722"/>
      <w:bookmarkStart w:id="1237" w:name="_Toc482099005"/>
      <w:bookmarkStart w:id="1238" w:name="_Toc482097907"/>
      <w:bookmarkStart w:id="1239" w:name="_Toc482097715"/>
      <w:bookmarkStart w:id="1240" w:name="_Toc482097626"/>
      <w:bookmarkStart w:id="1241" w:name="_Toc482097537"/>
      <w:bookmarkStart w:id="1242" w:name="_Toc482025714"/>
      <w:bookmarkStart w:id="1243" w:name="_Toc485218262"/>
      <w:bookmarkStart w:id="1244" w:name="_Toc484688826"/>
      <w:bookmarkStart w:id="1245" w:name="_Toc484688271"/>
      <w:bookmarkStart w:id="1246" w:name="_Toc484605402"/>
      <w:bookmarkStart w:id="1247" w:name="_Toc484605278"/>
      <w:bookmarkStart w:id="1248" w:name="_Toc484526558"/>
      <w:bookmarkStart w:id="1249" w:name="_Toc484449063"/>
      <w:bookmarkStart w:id="1250" w:name="_Toc484448939"/>
      <w:bookmarkStart w:id="1251" w:name="_Toc484448815"/>
      <w:bookmarkStart w:id="1252" w:name="_Toc484448692"/>
      <w:bookmarkStart w:id="1253" w:name="_Toc484448568"/>
      <w:bookmarkStart w:id="1254" w:name="_Toc484448444"/>
      <w:bookmarkStart w:id="1255" w:name="_Toc484448320"/>
      <w:bookmarkStart w:id="1256" w:name="_Toc484448196"/>
      <w:bookmarkStart w:id="1257" w:name="_Toc484448071"/>
      <w:bookmarkStart w:id="1258" w:name="_Toc484440412"/>
      <w:bookmarkStart w:id="1259" w:name="_Toc484440052"/>
      <w:bookmarkStart w:id="1260" w:name="_Toc484439928"/>
      <w:bookmarkStart w:id="1261" w:name="_Toc484439805"/>
      <w:bookmarkStart w:id="1262" w:name="_Toc484438885"/>
      <w:bookmarkStart w:id="1263" w:name="_Toc484438761"/>
      <w:bookmarkStart w:id="1264" w:name="_Toc484438637"/>
      <w:bookmarkStart w:id="1265" w:name="_Toc484429062"/>
      <w:bookmarkStart w:id="1266" w:name="_Toc484428892"/>
      <w:bookmarkStart w:id="1267" w:name="_Toc484097720"/>
      <w:bookmarkStart w:id="1268" w:name="_Toc484011646"/>
      <w:bookmarkStart w:id="1269" w:name="_Toc484011171"/>
      <w:bookmarkStart w:id="1270" w:name="_Toc484011049"/>
      <w:bookmarkStart w:id="1271" w:name="_Toc484010927"/>
      <w:bookmarkStart w:id="1272" w:name="_Toc484010803"/>
      <w:bookmarkStart w:id="1273" w:name="_Toc484010681"/>
      <w:bookmarkStart w:id="1274" w:name="_Toc483906931"/>
      <w:bookmarkStart w:id="1275" w:name="_Toc483571554"/>
      <w:bookmarkStart w:id="1276" w:name="_Toc483571433"/>
      <w:bookmarkStart w:id="1277" w:name="_Toc483474004"/>
      <w:bookmarkStart w:id="1278" w:name="_Toc483401207"/>
      <w:bookmarkStart w:id="1279" w:name="_Toc483325728"/>
      <w:bookmarkStart w:id="1280" w:name="_Toc483316425"/>
      <w:bookmarkStart w:id="1281" w:name="_Toc483316294"/>
      <w:bookmarkStart w:id="1282" w:name="_Toc483316091"/>
      <w:bookmarkStart w:id="1283" w:name="_Toc483315886"/>
      <w:bookmarkStart w:id="1284" w:name="_Toc483302336"/>
      <w:bookmarkStart w:id="1285" w:name="_Toc483233636"/>
      <w:bookmarkStart w:id="1286" w:name="_Toc482979675"/>
      <w:bookmarkStart w:id="1287" w:name="_Toc482979577"/>
      <w:bookmarkStart w:id="1288" w:name="_Toc482979468"/>
      <w:bookmarkStart w:id="1289" w:name="_Toc482979360"/>
      <w:bookmarkStart w:id="1290" w:name="_Toc482979251"/>
      <w:bookmarkStart w:id="1291" w:name="_Toc482979142"/>
      <w:bookmarkStart w:id="1292" w:name="_Toc482979031"/>
      <w:bookmarkStart w:id="1293" w:name="_Toc482978923"/>
      <w:bookmarkStart w:id="1294" w:name="_Toc482978814"/>
      <w:bookmarkStart w:id="1295" w:name="_Toc482959695"/>
      <w:bookmarkStart w:id="1296" w:name="_Toc482959585"/>
      <w:bookmarkStart w:id="1297" w:name="_Toc482959475"/>
      <w:bookmarkStart w:id="1298" w:name="_Toc482712705"/>
      <w:bookmarkStart w:id="1299" w:name="_Toc482641259"/>
      <w:bookmarkStart w:id="1300" w:name="_Toc482633082"/>
      <w:bookmarkStart w:id="1301" w:name="_Toc482352242"/>
      <w:bookmarkStart w:id="1302" w:name="_Toc482352152"/>
      <w:bookmarkStart w:id="1303" w:name="_Toc482352062"/>
      <w:bookmarkStart w:id="1304" w:name="_Toc482351972"/>
      <w:bookmarkStart w:id="1305" w:name="_Toc482102108"/>
      <w:bookmarkStart w:id="1306" w:name="_Toc482102014"/>
      <w:bookmarkStart w:id="1307" w:name="_Toc482101919"/>
      <w:bookmarkStart w:id="1308" w:name="_Toc482101824"/>
      <w:bookmarkStart w:id="1309" w:name="_Toc482101731"/>
      <w:bookmarkStart w:id="1310" w:name="_Toc482101556"/>
      <w:bookmarkStart w:id="1311" w:name="_Toc482101441"/>
      <w:bookmarkStart w:id="1312" w:name="_Toc482101304"/>
      <w:bookmarkStart w:id="1313" w:name="_Toc482100878"/>
      <w:bookmarkStart w:id="1314" w:name="_Toc482100721"/>
      <w:bookmarkStart w:id="1315" w:name="_Toc482099004"/>
      <w:bookmarkStart w:id="1316" w:name="_Toc482097906"/>
      <w:bookmarkStart w:id="1317" w:name="_Toc482097714"/>
      <w:bookmarkStart w:id="1318" w:name="_Toc482097625"/>
      <w:bookmarkStart w:id="1319" w:name="_Toc482097536"/>
      <w:bookmarkStart w:id="1320" w:name="_Toc482025713"/>
      <w:bookmarkStart w:id="1321" w:name="_Toc485218261"/>
      <w:bookmarkStart w:id="1322" w:name="_Toc484688825"/>
      <w:bookmarkStart w:id="1323" w:name="_Toc484688270"/>
      <w:bookmarkStart w:id="1324" w:name="_Toc484605401"/>
      <w:bookmarkStart w:id="1325" w:name="_Toc484605277"/>
      <w:bookmarkStart w:id="1326" w:name="_Toc484526557"/>
      <w:bookmarkStart w:id="1327" w:name="_Toc484449062"/>
      <w:bookmarkStart w:id="1328" w:name="_Toc484448938"/>
      <w:bookmarkStart w:id="1329" w:name="_Toc484448814"/>
      <w:bookmarkStart w:id="1330" w:name="_Toc484448691"/>
      <w:bookmarkStart w:id="1331" w:name="_Toc484448567"/>
      <w:bookmarkStart w:id="1332" w:name="_Toc484448443"/>
      <w:bookmarkStart w:id="1333" w:name="_Toc484448319"/>
      <w:bookmarkStart w:id="1334" w:name="_Toc484448195"/>
      <w:bookmarkStart w:id="1335" w:name="_Toc484448070"/>
      <w:bookmarkStart w:id="1336" w:name="_Toc484440411"/>
      <w:bookmarkStart w:id="1337" w:name="_Toc484440051"/>
      <w:bookmarkStart w:id="1338" w:name="_Toc484439927"/>
      <w:bookmarkStart w:id="1339" w:name="_Toc484439804"/>
      <w:bookmarkStart w:id="1340" w:name="_Toc484438884"/>
      <w:bookmarkStart w:id="1341" w:name="_Toc484438760"/>
      <w:bookmarkStart w:id="1342" w:name="_Toc484438636"/>
      <w:bookmarkStart w:id="1343" w:name="_Toc484429061"/>
      <w:bookmarkStart w:id="1344" w:name="_Toc484428891"/>
      <w:bookmarkStart w:id="1345" w:name="_Toc484097719"/>
      <w:bookmarkStart w:id="1346" w:name="_Toc484011645"/>
      <w:bookmarkStart w:id="1347" w:name="_Toc484011170"/>
      <w:bookmarkStart w:id="1348" w:name="_Toc484011048"/>
      <w:bookmarkStart w:id="1349" w:name="_Toc484010926"/>
      <w:bookmarkStart w:id="1350" w:name="_Toc484010802"/>
      <w:bookmarkStart w:id="1351" w:name="_Toc484010680"/>
      <w:bookmarkStart w:id="1352" w:name="_Toc483906930"/>
      <w:bookmarkStart w:id="1353" w:name="_Toc483571553"/>
      <w:bookmarkStart w:id="1354" w:name="_Toc483571432"/>
      <w:bookmarkStart w:id="1355" w:name="_Toc483474003"/>
      <w:bookmarkStart w:id="1356" w:name="_Toc483401206"/>
      <w:bookmarkStart w:id="1357" w:name="_Toc483325727"/>
      <w:bookmarkStart w:id="1358" w:name="_Toc483316424"/>
      <w:bookmarkStart w:id="1359" w:name="_Toc483316293"/>
      <w:bookmarkStart w:id="1360" w:name="_Toc483316090"/>
      <w:bookmarkStart w:id="1361" w:name="_Toc483315885"/>
      <w:bookmarkStart w:id="1362" w:name="_Toc483302335"/>
      <w:bookmarkStart w:id="1363" w:name="_Toc483233635"/>
      <w:bookmarkStart w:id="1364" w:name="_Toc482979674"/>
      <w:bookmarkStart w:id="1365" w:name="_Toc482979576"/>
      <w:bookmarkStart w:id="1366" w:name="_Toc482979467"/>
      <w:bookmarkStart w:id="1367" w:name="_Toc482979359"/>
      <w:bookmarkStart w:id="1368" w:name="_Toc482979250"/>
      <w:bookmarkStart w:id="1369" w:name="_Toc482979141"/>
      <w:bookmarkStart w:id="1370" w:name="_Toc482979030"/>
      <w:bookmarkStart w:id="1371" w:name="_Toc482978922"/>
      <w:bookmarkStart w:id="1372" w:name="_Toc482978813"/>
      <w:bookmarkStart w:id="1373" w:name="_Toc482959694"/>
      <w:bookmarkStart w:id="1374" w:name="_Toc482959584"/>
      <w:bookmarkStart w:id="1375" w:name="_Toc482959474"/>
      <w:bookmarkStart w:id="1376" w:name="_Toc482712704"/>
      <w:bookmarkStart w:id="1377" w:name="_Toc482641258"/>
      <w:bookmarkStart w:id="1378" w:name="_Toc482633081"/>
      <w:bookmarkStart w:id="1379" w:name="_Toc482352241"/>
      <w:bookmarkStart w:id="1380" w:name="_Toc482352151"/>
      <w:bookmarkStart w:id="1381" w:name="_Toc482352061"/>
      <w:bookmarkStart w:id="1382" w:name="_Toc482351971"/>
      <w:bookmarkStart w:id="1383" w:name="_Toc482102107"/>
      <w:bookmarkStart w:id="1384" w:name="_Toc482102013"/>
      <w:bookmarkStart w:id="1385" w:name="_Toc482101918"/>
      <w:bookmarkStart w:id="1386" w:name="_Toc482101823"/>
      <w:bookmarkStart w:id="1387" w:name="_Toc482101730"/>
      <w:bookmarkStart w:id="1388" w:name="_Toc482101555"/>
      <w:bookmarkStart w:id="1389" w:name="_Toc482101440"/>
      <w:bookmarkStart w:id="1390" w:name="_Toc482101303"/>
      <w:bookmarkStart w:id="1391" w:name="_Toc482100877"/>
      <w:bookmarkStart w:id="1392" w:name="_Toc482100720"/>
      <w:bookmarkStart w:id="1393" w:name="_Toc482099003"/>
      <w:bookmarkStart w:id="1394" w:name="_Toc482097905"/>
      <w:bookmarkStart w:id="1395" w:name="_Toc482097713"/>
      <w:bookmarkStart w:id="1396" w:name="_Toc482097624"/>
      <w:bookmarkStart w:id="1397" w:name="_Toc482097535"/>
      <w:bookmarkStart w:id="1398" w:name="_Toc482025712"/>
      <w:bookmarkStart w:id="1399" w:name="_Toc416423357"/>
      <w:bookmarkStart w:id="1400" w:name="_Toc406754172"/>
      <w:bookmarkStart w:id="1401" w:name="_Ref531184613"/>
      <w:bookmarkStart w:id="1402" w:name="_Ref128477566"/>
      <w:bookmarkStart w:id="1403" w:name="_Toc139549422"/>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r>
        <w:rPr>
          <w:rFonts w:ascii="Titillium" w:hAnsi="Titillium"/>
          <w:sz w:val="18"/>
          <w:szCs w:val="18"/>
        </w:rPr>
        <w:t>REQUISITI</w:t>
      </w:r>
      <w:r>
        <w:rPr>
          <w:rFonts w:ascii="Titillium" w:hAnsi="Titillium"/>
          <w:sz w:val="18"/>
          <w:szCs w:val="18"/>
          <w:lang w:val="it-IT"/>
        </w:rPr>
        <w:t xml:space="preserve"> DI ORDINE GENERALE</w:t>
      </w:r>
      <w:bookmarkEnd w:id="1401"/>
      <w:bookmarkEnd w:id="1402"/>
      <w:r>
        <w:rPr>
          <w:rFonts w:ascii="Titillium" w:hAnsi="Titillium"/>
          <w:sz w:val="18"/>
          <w:szCs w:val="18"/>
          <w:lang w:val="it-IT"/>
        </w:rPr>
        <w:t xml:space="preserve"> E ALTRE CAUSE DI ESCLUSIONE</w:t>
      </w:r>
      <w:bookmarkEnd w:id="1403"/>
    </w:p>
    <w:p w14:paraId="44FB0400" w14:textId="77777777" w:rsidR="00276DF7" w:rsidRDefault="00276DF7" w:rsidP="00276DF7">
      <w:pPr>
        <w:shd w:val="clear" w:color="auto" w:fill="F2F2F2" w:themeFill="background1" w:themeFillShade="F2"/>
        <w:spacing w:before="60"/>
        <w:rPr>
          <w:rFonts w:ascii="Titillium" w:hAnsi="Titillium" w:cs="Arial"/>
          <w:sz w:val="18"/>
          <w:szCs w:val="18"/>
        </w:rPr>
      </w:pPr>
      <w:r w:rsidRPr="006266B8">
        <w:rPr>
          <w:rFonts w:ascii="Titillium" w:hAnsi="Titillium" w:cs="Arial"/>
          <w:sz w:val="18"/>
          <w:szCs w:val="18"/>
        </w:rPr>
        <w:t>I concorrenti devono essere in possesso, a pena di esclusione, dei requisiti di ordine generale previsti dal Codice nonché degli ulteriori requisiti indicati nel presente articolo.</w:t>
      </w:r>
    </w:p>
    <w:p w14:paraId="6CD558DA" w14:textId="77777777" w:rsidR="00276DF7" w:rsidRPr="00D95E6D" w:rsidRDefault="00276DF7" w:rsidP="00276DF7">
      <w:pPr>
        <w:shd w:val="clear" w:color="auto" w:fill="F2F2F2" w:themeFill="background1" w:themeFillShade="F2"/>
        <w:spacing w:before="60"/>
        <w:rPr>
          <w:rFonts w:ascii="Titillium" w:hAnsi="Titillium" w:cs="Arial"/>
          <w:sz w:val="18"/>
          <w:szCs w:val="18"/>
        </w:rPr>
      </w:pPr>
      <w:r w:rsidRPr="00D95E6D">
        <w:rPr>
          <w:rFonts w:ascii="Titillium" w:hAnsi="Titillium" w:cs="Arial"/>
          <w:sz w:val="18"/>
          <w:szCs w:val="18"/>
        </w:rPr>
        <w:t>La stazione appaltante verifica il possesso dei requisiti di ordine generale accedendo al fascicolo virtuale dell’operatore economico (di seguito: FVOE).</w:t>
      </w:r>
    </w:p>
    <w:p w14:paraId="4FBE8FC4" w14:textId="77777777" w:rsidR="00276DF7" w:rsidRDefault="00276DF7" w:rsidP="00276DF7">
      <w:pPr>
        <w:shd w:val="clear" w:color="auto" w:fill="F2F2F2" w:themeFill="background1" w:themeFillShade="F2"/>
        <w:spacing w:before="60"/>
        <w:rPr>
          <w:rFonts w:ascii="Titillium" w:hAnsi="Titillium" w:cs="Arial"/>
          <w:sz w:val="18"/>
          <w:szCs w:val="18"/>
        </w:rPr>
      </w:pPr>
      <w:r w:rsidRPr="00D95E6D">
        <w:rPr>
          <w:rFonts w:ascii="Titillium" w:hAnsi="Titillium" w:cs="Arial"/>
          <w:sz w:val="18"/>
          <w:szCs w:val="18"/>
        </w:rPr>
        <w:t>Le circostanze di cui all’articolo 94 del Codice sono cause di esclusione automatica. La sussistenza delle circostanze di cui all’articolo 95 del Codice è accertata previo contraddittorio con l’operatore economico.</w:t>
      </w:r>
    </w:p>
    <w:p w14:paraId="5C9E33AF" w14:textId="77777777" w:rsidR="00276DF7" w:rsidRPr="0062004E" w:rsidRDefault="00276DF7" w:rsidP="00276DF7">
      <w:pPr>
        <w:shd w:val="clear" w:color="auto" w:fill="F2F2F2" w:themeFill="background1" w:themeFillShade="F2"/>
        <w:spacing w:before="60"/>
        <w:rPr>
          <w:rFonts w:ascii="Titillium" w:hAnsi="Titillium" w:cs="Arial"/>
          <w:sz w:val="18"/>
          <w:szCs w:val="18"/>
        </w:rPr>
      </w:pPr>
      <w:r w:rsidRPr="0062004E">
        <w:rPr>
          <w:rFonts w:ascii="Titillium" w:hAnsi="Titillium" w:cs="Arial"/>
          <w:sz w:val="18"/>
          <w:szCs w:val="18"/>
        </w:rPr>
        <w:t>In caso di partecipazione di consorzi di cui all’articolo 65, comma 2, lettere b) e c) del Codice</w:t>
      </w:r>
      <w:r>
        <w:rPr>
          <w:rFonts w:ascii="Titillium" w:hAnsi="Titillium" w:cs="Arial"/>
          <w:sz w:val="18"/>
          <w:szCs w:val="18"/>
        </w:rPr>
        <w:t>,</w:t>
      </w:r>
      <w:r w:rsidRPr="0062004E">
        <w:rPr>
          <w:rFonts w:ascii="Titillium" w:hAnsi="Titillium" w:cs="Arial"/>
          <w:sz w:val="18"/>
          <w:szCs w:val="18"/>
        </w:rPr>
        <w:t xml:space="preserve"> i requisiti di cui al punto 5 </w:t>
      </w:r>
      <w:r>
        <w:rPr>
          <w:rFonts w:ascii="Titillium" w:hAnsi="Titillium" w:cs="Arial"/>
          <w:sz w:val="18"/>
          <w:szCs w:val="18"/>
        </w:rPr>
        <w:t>sono</w:t>
      </w:r>
      <w:r w:rsidRPr="0062004E">
        <w:rPr>
          <w:rFonts w:ascii="Titillium" w:hAnsi="Titillium" w:cs="Arial"/>
          <w:sz w:val="18"/>
          <w:szCs w:val="18"/>
        </w:rPr>
        <w:t xml:space="preserve"> posseduti dal consorzio e dalle consor</w:t>
      </w:r>
      <w:r>
        <w:rPr>
          <w:rFonts w:ascii="Titillium" w:hAnsi="Titillium" w:cs="Arial"/>
          <w:sz w:val="18"/>
          <w:szCs w:val="18"/>
        </w:rPr>
        <w:t>ziate indicate quali esecutrici</w:t>
      </w:r>
      <w:r w:rsidRPr="0062004E">
        <w:rPr>
          <w:rFonts w:ascii="Titillium" w:hAnsi="Titillium" w:cs="Arial"/>
          <w:sz w:val="18"/>
          <w:szCs w:val="18"/>
        </w:rPr>
        <w:t>.</w:t>
      </w:r>
    </w:p>
    <w:p w14:paraId="3C31A67A" w14:textId="77777777" w:rsidR="00276DF7" w:rsidRPr="008D614D" w:rsidRDefault="00276DF7" w:rsidP="00276DF7">
      <w:pPr>
        <w:shd w:val="clear" w:color="auto" w:fill="F2F2F2" w:themeFill="background1" w:themeFillShade="F2"/>
        <w:spacing w:before="60"/>
        <w:rPr>
          <w:rFonts w:ascii="Titillium" w:hAnsi="Titillium" w:cs="Arial"/>
          <w:sz w:val="18"/>
          <w:szCs w:val="18"/>
        </w:rPr>
      </w:pPr>
      <w:r w:rsidRPr="0062004E">
        <w:rPr>
          <w:rFonts w:ascii="Titillium" w:hAnsi="Titillium" w:cs="Arial"/>
          <w:sz w:val="18"/>
          <w:szCs w:val="18"/>
        </w:rPr>
        <w:t>In caso di partecipazione di consorzi stabili di cui all’articolo 65, comma 2, lett. d) del Codice</w:t>
      </w:r>
      <w:r>
        <w:rPr>
          <w:rFonts w:ascii="Titillium" w:hAnsi="Titillium" w:cs="Arial"/>
          <w:sz w:val="18"/>
          <w:szCs w:val="18"/>
        </w:rPr>
        <w:t>,</w:t>
      </w:r>
      <w:r w:rsidRPr="0062004E">
        <w:rPr>
          <w:rFonts w:ascii="Titillium" w:hAnsi="Titillium" w:cs="Arial"/>
          <w:sz w:val="18"/>
          <w:szCs w:val="18"/>
        </w:rPr>
        <w:t xml:space="preserve"> i requisiti di cui al punto 5 </w:t>
      </w:r>
      <w:r>
        <w:rPr>
          <w:rFonts w:ascii="Titillium" w:hAnsi="Titillium" w:cs="Arial"/>
          <w:sz w:val="18"/>
          <w:szCs w:val="18"/>
        </w:rPr>
        <w:t>sono</w:t>
      </w:r>
      <w:r w:rsidRPr="0062004E">
        <w:rPr>
          <w:rFonts w:ascii="Titillium" w:hAnsi="Titillium" w:cs="Arial"/>
          <w:sz w:val="18"/>
          <w:szCs w:val="18"/>
        </w:rPr>
        <w:t xml:space="preserve"> posseduti dal consorzio, dalle consorziate indicate quali esecutrici e dalle consorziate che prestano i requisiti.</w:t>
      </w:r>
    </w:p>
    <w:p w14:paraId="57CC715B" w14:textId="77777777" w:rsidR="00276DF7" w:rsidRDefault="00276DF7" w:rsidP="00276DF7">
      <w:pPr>
        <w:shd w:val="clear" w:color="auto" w:fill="F2F2F2" w:themeFill="background1" w:themeFillShade="F2"/>
        <w:spacing w:before="60"/>
        <w:rPr>
          <w:rFonts w:ascii="Titillium" w:hAnsi="Titillium" w:cs="Arial"/>
          <w:b/>
          <w:bCs/>
          <w:sz w:val="18"/>
          <w:szCs w:val="18"/>
        </w:rPr>
      </w:pPr>
    </w:p>
    <w:p w14:paraId="5925A47F" w14:textId="77777777" w:rsidR="00276DF7" w:rsidRPr="004176CD" w:rsidRDefault="00276DF7" w:rsidP="00276DF7">
      <w:pPr>
        <w:shd w:val="clear" w:color="auto" w:fill="F2F2F2" w:themeFill="background1" w:themeFillShade="F2"/>
        <w:spacing w:before="60"/>
        <w:rPr>
          <w:rFonts w:ascii="Titillium" w:hAnsi="Titillium" w:cs="Arial"/>
          <w:b/>
          <w:bCs/>
          <w:sz w:val="18"/>
          <w:szCs w:val="18"/>
        </w:rPr>
      </w:pPr>
      <w:r w:rsidRPr="004176CD">
        <w:rPr>
          <w:rFonts w:ascii="Titillium" w:hAnsi="Titillium" w:cs="Arial"/>
          <w:b/>
          <w:bCs/>
          <w:sz w:val="18"/>
          <w:szCs w:val="18"/>
        </w:rPr>
        <w:t xml:space="preserve">Self </w:t>
      </w:r>
      <w:r>
        <w:rPr>
          <w:rFonts w:ascii="Titillium" w:hAnsi="Titillium" w:cs="Arial"/>
          <w:b/>
          <w:bCs/>
          <w:sz w:val="18"/>
          <w:szCs w:val="18"/>
        </w:rPr>
        <w:t>cleaning</w:t>
      </w:r>
    </w:p>
    <w:p w14:paraId="14248052" w14:textId="77777777" w:rsidR="00276DF7" w:rsidRDefault="00276DF7" w:rsidP="00276DF7">
      <w:pPr>
        <w:shd w:val="clear" w:color="auto" w:fill="F2F2F2" w:themeFill="background1" w:themeFillShade="F2"/>
        <w:spacing w:before="60"/>
        <w:rPr>
          <w:rFonts w:ascii="Titillium" w:hAnsi="Titillium" w:cs="Arial"/>
          <w:sz w:val="18"/>
          <w:szCs w:val="18"/>
        </w:rPr>
      </w:pPr>
      <w:r>
        <w:rPr>
          <w:rFonts w:ascii="Titillium" w:hAnsi="Titillium" w:cs="Arial"/>
          <w:sz w:val="18"/>
          <w:szCs w:val="18"/>
        </w:rPr>
        <w:t xml:space="preserve">Un operatore economico che si trovi in </w:t>
      </w:r>
      <w:r w:rsidRPr="00052FD6">
        <w:rPr>
          <w:rFonts w:ascii="Titillium" w:hAnsi="Titillium" w:cs="Arial"/>
          <w:sz w:val="18"/>
          <w:szCs w:val="18"/>
        </w:rPr>
        <w:t>una delle situazioni di cui agli articoli 94 e 95</w:t>
      </w:r>
      <w:r>
        <w:rPr>
          <w:rFonts w:ascii="Titillium" w:hAnsi="Titillium" w:cs="Arial"/>
          <w:sz w:val="18"/>
          <w:szCs w:val="18"/>
        </w:rPr>
        <w:t xml:space="preserve"> del Codice</w:t>
      </w:r>
      <w:r w:rsidRPr="00052FD6">
        <w:rPr>
          <w:rFonts w:ascii="Titillium" w:hAnsi="Titillium" w:cs="Arial"/>
          <w:sz w:val="18"/>
          <w:szCs w:val="18"/>
        </w:rPr>
        <w:t xml:space="preserve">, ad eccezione delle irregolarità contributive e fiscali definitivamente e non </w:t>
      </w:r>
      <w:r w:rsidRPr="00052FD6">
        <w:rPr>
          <w:rFonts w:ascii="Titillium" w:hAnsi="Titillium" w:cs="Arial"/>
          <w:sz w:val="18"/>
          <w:szCs w:val="18"/>
        </w:rPr>
        <w:lastRenderedPageBreak/>
        <w:t xml:space="preserve">definitivamente accertate, può fornire prova di aver adottato misure </w:t>
      </w:r>
      <w:r>
        <w:rPr>
          <w:rFonts w:ascii="Titillium" w:hAnsi="Titillium" w:cs="Arial"/>
          <w:sz w:val="18"/>
          <w:szCs w:val="18"/>
        </w:rPr>
        <w:t xml:space="preserve">(c.d. self cleaning) </w:t>
      </w:r>
      <w:r w:rsidRPr="00052FD6">
        <w:rPr>
          <w:rFonts w:ascii="Titillium" w:hAnsi="Titillium" w:cs="Arial"/>
          <w:sz w:val="18"/>
          <w:szCs w:val="18"/>
        </w:rPr>
        <w:t xml:space="preserve">sufficienti a dimostrare la sua affidabilità. </w:t>
      </w:r>
    </w:p>
    <w:p w14:paraId="575B77A5" w14:textId="77777777" w:rsidR="00276DF7" w:rsidRDefault="00276DF7" w:rsidP="00276DF7">
      <w:pPr>
        <w:shd w:val="clear" w:color="auto" w:fill="F2F2F2" w:themeFill="background1" w:themeFillShade="F2"/>
        <w:spacing w:before="60"/>
        <w:rPr>
          <w:rFonts w:ascii="Titillium" w:hAnsi="Titillium" w:cs="Arial"/>
          <w:sz w:val="18"/>
          <w:szCs w:val="18"/>
        </w:rPr>
      </w:pPr>
      <w:r>
        <w:rPr>
          <w:rFonts w:ascii="Titillium" w:hAnsi="Titillium" w:cs="Arial"/>
          <w:sz w:val="18"/>
          <w:szCs w:val="18"/>
        </w:rPr>
        <w:t>Se la causa di esclusione si è verificata prima della presentazione dell’offerta, l’operatore economico indica nel DGUE la causa ostativa e, alternativamente:</w:t>
      </w:r>
    </w:p>
    <w:p w14:paraId="6B09D512" w14:textId="77777777" w:rsidR="00276DF7" w:rsidRDefault="00276DF7" w:rsidP="00276DF7">
      <w:pPr>
        <w:shd w:val="clear" w:color="auto" w:fill="F2F2F2" w:themeFill="background1" w:themeFillShade="F2"/>
        <w:spacing w:before="60"/>
        <w:rPr>
          <w:rFonts w:ascii="Titillium" w:hAnsi="Titillium" w:cs="Arial"/>
          <w:sz w:val="18"/>
          <w:szCs w:val="18"/>
        </w:rPr>
      </w:pPr>
      <w:r>
        <w:rPr>
          <w:rFonts w:ascii="Titillium" w:hAnsi="Titillium" w:cs="Arial"/>
          <w:sz w:val="18"/>
          <w:szCs w:val="18"/>
        </w:rPr>
        <w:t>- descrive le misure adottate ai sensi dell’articolo 96, comma 6 del Codice;</w:t>
      </w:r>
    </w:p>
    <w:p w14:paraId="73401576" w14:textId="77777777" w:rsidR="00276DF7" w:rsidRDefault="00276DF7" w:rsidP="00276DF7">
      <w:pPr>
        <w:shd w:val="clear" w:color="auto" w:fill="F2F2F2" w:themeFill="background1" w:themeFillShade="F2"/>
        <w:spacing w:before="60"/>
        <w:rPr>
          <w:rFonts w:ascii="Titillium" w:hAnsi="Titillium" w:cs="Arial"/>
          <w:sz w:val="18"/>
          <w:szCs w:val="18"/>
        </w:rPr>
      </w:pPr>
      <w:r>
        <w:rPr>
          <w:rFonts w:ascii="Titillium" w:hAnsi="Titillium" w:cs="Arial"/>
          <w:sz w:val="18"/>
          <w:szCs w:val="18"/>
        </w:rPr>
        <w:t xml:space="preserve">- motiva l’impossibilità ad adottare dette misure e si impegna a provvedere successivamente. L’adozione delle misure è comunicata alla stazione appaltante. </w:t>
      </w:r>
    </w:p>
    <w:p w14:paraId="7C844EDE" w14:textId="77777777" w:rsidR="00276DF7" w:rsidRDefault="00276DF7" w:rsidP="00276DF7">
      <w:pPr>
        <w:shd w:val="clear" w:color="auto" w:fill="F2F2F2" w:themeFill="background1" w:themeFillShade="F2"/>
        <w:spacing w:before="60"/>
        <w:rPr>
          <w:rFonts w:ascii="Titillium" w:hAnsi="Titillium" w:cs="Arial"/>
          <w:sz w:val="18"/>
          <w:szCs w:val="18"/>
        </w:rPr>
      </w:pPr>
      <w:r>
        <w:rPr>
          <w:rFonts w:ascii="Titillium" w:hAnsi="Titillium" w:cs="Arial"/>
          <w:sz w:val="18"/>
          <w:szCs w:val="18"/>
        </w:rPr>
        <w:t>Se la causa di esclusione si è verificata successivamente alla presentazione dell’offerta, l’operatore economico adotta le misure di cui al comma 6 dell’articolo 96 del Codice dandone comunicazione alla stazione appaltante.</w:t>
      </w:r>
    </w:p>
    <w:p w14:paraId="7AD2965A" w14:textId="77777777" w:rsidR="00276DF7" w:rsidRPr="00052FD6" w:rsidRDefault="00276DF7" w:rsidP="00276DF7">
      <w:pPr>
        <w:shd w:val="clear" w:color="auto" w:fill="F2F2F2" w:themeFill="background1" w:themeFillShade="F2"/>
        <w:spacing w:before="60"/>
        <w:rPr>
          <w:rFonts w:ascii="Titillium" w:hAnsi="Titillium" w:cs="Arial"/>
          <w:sz w:val="18"/>
          <w:szCs w:val="18"/>
        </w:rPr>
      </w:pPr>
      <w:r w:rsidRPr="00052FD6">
        <w:rPr>
          <w:rFonts w:ascii="Titillium" w:hAnsi="Titillium" w:cs="Arial"/>
          <w:sz w:val="18"/>
          <w:szCs w:val="18"/>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14:paraId="7BDEF6B3" w14:textId="77777777" w:rsidR="00276DF7" w:rsidRPr="00052FD6" w:rsidRDefault="00276DF7" w:rsidP="00276DF7">
      <w:pPr>
        <w:shd w:val="clear" w:color="auto" w:fill="F2F2F2" w:themeFill="background1" w:themeFillShade="F2"/>
        <w:spacing w:before="60"/>
        <w:rPr>
          <w:rFonts w:ascii="Titillium" w:hAnsi="Titillium" w:cs="Arial"/>
          <w:sz w:val="18"/>
          <w:szCs w:val="18"/>
        </w:rPr>
      </w:pPr>
      <w:r w:rsidRPr="00052FD6">
        <w:rPr>
          <w:rFonts w:ascii="Titillium" w:hAnsi="Titillium" w:cs="Arial"/>
          <w:sz w:val="18"/>
          <w:szCs w:val="18"/>
        </w:rPr>
        <w:t>Se le misure adottate sono ritenute sufficienti e tempestive, l’operatore economico non è escluso.</w:t>
      </w:r>
      <w:r>
        <w:rPr>
          <w:rFonts w:ascii="Titillium" w:hAnsi="Titillium" w:cs="Arial"/>
          <w:sz w:val="18"/>
          <w:szCs w:val="18"/>
        </w:rPr>
        <w:t xml:space="preserve"> </w:t>
      </w:r>
      <w:r w:rsidRPr="00052FD6">
        <w:rPr>
          <w:rFonts w:ascii="Titillium" w:hAnsi="Titillium" w:cs="Arial"/>
          <w:sz w:val="18"/>
          <w:szCs w:val="18"/>
        </w:rPr>
        <w:t xml:space="preserve">Se dette misure sono ritenute insufficienti e intempestive, la stazione appaltante ne comunica le ragioni all’operatore economico. </w:t>
      </w:r>
    </w:p>
    <w:p w14:paraId="33AB228B" w14:textId="77777777" w:rsidR="00276DF7" w:rsidRDefault="00276DF7" w:rsidP="00276DF7">
      <w:pPr>
        <w:shd w:val="clear" w:color="auto" w:fill="F2F2F2" w:themeFill="background1" w:themeFillShade="F2"/>
        <w:spacing w:before="60"/>
        <w:rPr>
          <w:rFonts w:ascii="Titillium" w:hAnsi="Titillium" w:cs="Arial"/>
          <w:sz w:val="18"/>
          <w:szCs w:val="18"/>
        </w:rPr>
      </w:pPr>
      <w:r w:rsidRPr="00052FD6">
        <w:rPr>
          <w:rFonts w:ascii="Titillium" w:hAnsi="Titillium" w:cs="Arial"/>
          <w:sz w:val="18"/>
          <w:szCs w:val="18"/>
        </w:rPr>
        <w:t>Non può avvalersi del self-cleaning l’operatore economico escluso con sentenza definitiva dalla partecipazione alle procedure di affidamento o di concessione, nel corso del periodo di esclusione derivante da tale sentenza.</w:t>
      </w:r>
    </w:p>
    <w:p w14:paraId="47590F87" w14:textId="77777777" w:rsidR="00276DF7" w:rsidRDefault="00276DF7" w:rsidP="00276DF7">
      <w:pPr>
        <w:shd w:val="clear" w:color="auto" w:fill="F2F2F2" w:themeFill="background1" w:themeFillShade="F2"/>
        <w:spacing w:before="60" w:after="60"/>
        <w:rPr>
          <w:rFonts w:ascii="Titillium" w:hAnsi="Titillium"/>
          <w:sz w:val="18"/>
        </w:rPr>
      </w:pPr>
      <w:r>
        <w:rPr>
          <w:rFonts w:ascii="Titillium" w:hAnsi="Titillium"/>
          <w:sz w:val="18"/>
        </w:rPr>
        <w:t>Nel caso in cui</w:t>
      </w:r>
      <w:r w:rsidRPr="00FA010F">
        <w:rPr>
          <w:rFonts w:ascii="Titillium" w:hAnsi="Titillium"/>
          <w:sz w:val="18"/>
        </w:rPr>
        <w:t xml:space="preserve"> un </w:t>
      </w:r>
      <w:r>
        <w:rPr>
          <w:rFonts w:ascii="Titillium" w:hAnsi="Titillium"/>
          <w:sz w:val="18"/>
        </w:rPr>
        <w:t>raggruppamento/consorzio abbia estromesso o sostituito un partecipante/esecutore</w:t>
      </w:r>
      <w:r w:rsidRPr="00FA010F">
        <w:rPr>
          <w:rFonts w:ascii="Titillium" w:hAnsi="Titillium"/>
          <w:sz w:val="18"/>
        </w:rPr>
        <w:t xml:space="preserve"> interessato da una clausola di esclusione di cui agli articoli 94 e 95 del </w:t>
      </w:r>
      <w:r>
        <w:rPr>
          <w:rFonts w:ascii="Titillium" w:hAnsi="Titillium"/>
          <w:sz w:val="18"/>
        </w:rPr>
        <w:t>C</w:t>
      </w:r>
      <w:r w:rsidRPr="00FA010F">
        <w:rPr>
          <w:rFonts w:ascii="Titillium" w:hAnsi="Titillium"/>
          <w:sz w:val="18"/>
        </w:rPr>
        <w:t>odice</w:t>
      </w:r>
      <w:r>
        <w:rPr>
          <w:rFonts w:ascii="Titillium" w:hAnsi="Titillium"/>
          <w:sz w:val="18"/>
        </w:rPr>
        <w:t>, si valutano le misure adottate ai sensi dell’articolo 97 del Codice al fine di decidere sull’esclusione.</w:t>
      </w:r>
      <w:r w:rsidRPr="00FA010F">
        <w:rPr>
          <w:rFonts w:ascii="Titillium" w:hAnsi="Titillium"/>
          <w:sz w:val="18"/>
        </w:rPr>
        <w:t xml:space="preserve"> </w:t>
      </w:r>
    </w:p>
    <w:p w14:paraId="3EB59080" w14:textId="77777777" w:rsidR="00276DF7" w:rsidRDefault="00276DF7" w:rsidP="00276DF7">
      <w:pPr>
        <w:shd w:val="clear" w:color="auto" w:fill="F2F2F2" w:themeFill="background1" w:themeFillShade="F2"/>
        <w:spacing w:before="60"/>
        <w:rPr>
          <w:rFonts w:ascii="Titillium" w:hAnsi="Titillium" w:cs="Arial"/>
          <w:sz w:val="18"/>
          <w:szCs w:val="18"/>
        </w:rPr>
      </w:pPr>
    </w:p>
    <w:p w14:paraId="56754BE6" w14:textId="77777777" w:rsidR="00276DF7" w:rsidRDefault="00276DF7" w:rsidP="00276DF7">
      <w:pPr>
        <w:shd w:val="clear" w:color="auto" w:fill="F2F2F2" w:themeFill="background1" w:themeFillShade="F2"/>
        <w:spacing w:before="60"/>
        <w:rPr>
          <w:rFonts w:ascii="Titillium" w:hAnsi="Titillium" w:cs="Arial"/>
          <w:b/>
          <w:bCs/>
          <w:sz w:val="18"/>
          <w:szCs w:val="18"/>
        </w:rPr>
      </w:pPr>
      <w:r>
        <w:rPr>
          <w:rFonts w:ascii="Titillium" w:hAnsi="Titillium" w:cs="Arial"/>
          <w:b/>
          <w:bCs/>
          <w:sz w:val="18"/>
          <w:szCs w:val="18"/>
        </w:rPr>
        <w:t>Altre cause di esclusione</w:t>
      </w:r>
    </w:p>
    <w:p w14:paraId="6CEDA8BE" w14:textId="77777777" w:rsidR="00276DF7" w:rsidRDefault="00276DF7" w:rsidP="00276DF7">
      <w:pPr>
        <w:shd w:val="clear" w:color="auto" w:fill="F2F2F2" w:themeFill="background1" w:themeFillShade="F2"/>
        <w:spacing w:before="120" w:after="60"/>
      </w:pPr>
      <w:r w:rsidRPr="00E64307">
        <w:rPr>
          <w:rFonts w:ascii="Titillium" w:hAnsi="Titillium" w:cs="Arial"/>
          <w:sz w:val="18"/>
          <w:szCs w:val="18"/>
        </w:rPr>
        <w:t xml:space="preserve">Sono </w:t>
      </w:r>
      <w:r w:rsidRPr="005C15ED">
        <w:rPr>
          <w:rFonts w:ascii="Titillium" w:hAnsi="Titillium" w:cs="Arial"/>
          <w:sz w:val="18"/>
          <w:szCs w:val="18"/>
        </w:rPr>
        <w:t>esclusi</w:t>
      </w:r>
      <w:r w:rsidRPr="00E64307">
        <w:rPr>
          <w:rFonts w:ascii="Titillium" w:hAnsi="Titillium" w:cs="Arial"/>
          <w:sz w:val="18"/>
          <w:szCs w:val="18"/>
        </w:rPr>
        <w:t xml:space="preserve"> gli</w:t>
      </w:r>
      <w:r w:rsidRPr="00E64307">
        <w:rPr>
          <w:rFonts w:ascii="Titillium" w:hAnsi="Titillium" w:cs="Arial"/>
          <w:b/>
          <w:sz w:val="18"/>
          <w:szCs w:val="18"/>
        </w:rPr>
        <w:t xml:space="preserve"> </w:t>
      </w:r>
      <w:r w:rsidRPr="00E64307">
        <w:rPr>
          <w:rFonts w:ascii="Titillium" w:hAnsi="Titillium" w:cs="Calibri"/>
          <w:sz w:val="18"/>
          <w:szCs w:val="18"/>
        </w:rPr>
        <w:t xml:space="preserve">operatori economici che abbiano affidato incarichi in violazione dell’articolo 53, comma 16-ter, del decreto legislativo del 2001 n. 165 a soggetti che hanno esercitato, in qualità di dipendenti, poteri autoritativi o negoziali presso l’amministrazione affidante negli ultimi tre anni. </w:t>
      </w:r>
    </w:p>
    <w:p w14:paraId="746F7A54" w14:textId="77777777" w:rsidR="00276DF7" w:rsidRDefault="00276DF7" w:rsidP="00276DF7">
      <w:pPr>
        <w:shd w:val="clear" w:color="auto" w:fill="F2F2F2" w:themeFill="background1" w:themeFillShade="F2"/>
        <w:spacing w:before="120" w:after="60"/>
      </w:pPr>
      <w:r w:rsidRPr="00E64307">
        <w:rPr>
          <w:rFonts w:ascii="Titillium" w:hAnsi="Titillium" w:cs="Calibri"/>
          <w:b/>
          <w:i/>
          <w:sz w:val="18"/>
          <w:szCs w:val="18"/>
        </w:rPr>
        <w:t>[</w:t>
      </w:r>
      <w:r>
        <w:rPr>
          <w:rFonts w:ascii="Titillium" w:hAnsi="Titillium" w:cs="Calibri"/>
          <w:b/>
          <w:i/>
          <w:sz w:val="18"/>
          <w:szCs w:val="18"/>
        </w:rPr>
        <w:t>I</w:t>
      </w:r>
      <w:r w:rsidRPr="00E64307">
        <w:rPr>
          <w:rFonts w:ascii="Titillium" w:hAnsi="Titillium" w:cs="Calibri"/>
          <w:b/>
          <w:i/>
          <w:sz w:val="18"/>
          <w:szCs w:val="18"/>
        </w:rPr>
        <w:t>n caso di</w:t>
      </w:r>
      <w:r w:rsidRPr="00E64307">
        <w:rPr>
          <w:rFonts w:ascii="Titillium" w:hAnsi="Titillium" w:cs="Calibri"/>
          <w:sz w:val="18"/>
          <w:szCs w:val="18"/>
        </w:rPr>
        <w:t xml:space="preserve"> </w:t>
      </w:r>
      <w:r w:rsidRPr="00E64307">
        <w:rPr>
          <w:rFonts w:ascii="Titillium" w:hAnsi="Titillium" w:cs="Calibri"/>
          <w:b/>
          <w:i/>
          <w:sz w:val="18"/>
          <w:szCs w:val="18"/>
        </w:rPr>
        <w:t xml:space="preserve">servizi o forniture rientranti in una delle attività a maggior rischio di infiltrazione mafiosa di cui al comma 53, dell’articolo 1, della legge 6 novembre 2012, n. 190, inserire la seguente prescrizione] </w:t>
      </w:r>
      <w:r w:rsidRPr="00E64307">
        <w:rPr>
          <w:rFonts w:ascii="Titillium" w:hAnsi="Titillium" w:cs="Arial"/>
          <w:sz w:val="18"/>
          <w:szCs w:val="18"/>
        </w:rPr>
        <w:t xml:space="preserve">Gli </w:t>
      </w:r>
      <w:r w:rsidRPr="00E64307">
        <w:rPr>
          <w:rFonts w:ascii="Titillium" w:hAnsi="Titillium" w:cs="Calibri"/>
          <w:sz w:val="18"/>
          <w:szCs w:val="18"/>
        </w:rPr>
        <w:t xml:space="preserve">operatori economici </w:t>
      </w:r>
      <w:r w:rsidRPr="00E64307">
        <w:rPr>
          <w:rFonts w:ascii="Titillium" w:hAnsi="Titillium" w:cs="Arial"/>
          <w:sz w:val="18"/>
          <w:szCs w:val="18"/>
        </w:rPr>
        <w:t>devono possedere,</w:t>
      </w:r>
      <w:r w:rsidRPr="00E64307">
        <w:rPr>
          <w:rFonts w:ascii="Titillium" w:hAnsi="Titillium" w:cs="Calibri"/>
          <w:b/>
          <w:sz w:val="18"/>
          <w:szCs w:val="18"/>
        </w:rPr>
        <w:t xml:space="preserve"> </w:t>
      </w:r>
      <w:r w:rsidRPr="00E64307">
        <w:rPr>
          <w:rFonts w:ascii="Titillium" w:hAnsi="Titillium" w:cs="Calibri"/>
          <w:sz w:val="18"/>
          <w:szCs w:val="18"/>
        </w:rPr>
        <w:t>pena l’esclusione dalla gara,</w:t>
      </w:r>
      <w:r w:rsidRPr="00E64307">
        <w:rPr>
          <w:rFonts w:ascii="Titillium" w:hAnsi="Titillium" w:cs="Arial"/>
          <w:sz w:val="18"/>
          <w:szCs w:val="18"/>
        </w:rPr>
        <w:t xml:space="preserve"> l’iscrizione nell’elenco dei fornitori, prestatori di servizi ed esecutori di lavori non soggetti a tentativo di infiltrazione mafiosa (cosiddetta </w:t>
      </w:r>
      <w:r w:rsidRPr="00E64307">
        <w:rPr>
          <w:rFonts w:ascii="Titillium" w:hAnsi="Titillium" w:cs="Arial"/>
          <w:i/>
          <w:sz w:val="18"/>
          <w:szCs w:val="18"/>
        </w:rPr>
        <w:t>white list</w:t>
      </w:r>
      <w:r w:rsidRPr="00E64307">
        <w:rPr>
          <w:rFonts w:ascii="Titillium" w:hAnsi="Titillium" w:cs="Arial"/>
          <w:sz w:val="18"/>
          <w:szCs w:val="18"/>
        </w:rPr>
        <w:t>) istituito presso la Prefettura della provincia in cui l’operatore economico ha la propria sede oppure devono aver presentato domanda di iscrizione al predetto elenco.</w:t>
      </w:r>
    </w:p>
    <w:p w14:paraId="73B4EBB6" w14:textId="77777777" w:rsidR="00276DF7" w:rsidRPr="00E64307" w:rsidRDefault="00276DF7" w:rsidP="00276DF7">
      <w:pPr>
        <w:shd w:val="clear" w:color="auto" w:fill="F2F2F2" w:themeFill="background1" w:themeFillShade="F2"/>
        <w:spacing w:before="120" w:after="60"/>
        <w:rPr>
          <w:rFonts w:ascii="Titillium" w:hAnsi="Titillium" w:cs="Calibri"/>
          <w:sz w:val="18"/>
          <w:szCs w:val="18"/>
        </w:rPr>
      </w:pPr>
      <w:r w:rsidRPr="00E64307">
        <w:rPr>
          <w:rFonts w:ascii="Titillium" w:hAnsi="Titillium" w:cs="Arial"/>
          <w:b/>
          <w:i/>
          <w:sz w:val="18"/>
          <w:szCs w:val="18"/>
        </w:rPr>
        <w:t>[</w:t>
      </w:r>
      <w:r>
        <w:rPr>
          <w:rFonts w:ascii="Titillium" w:hAnsi="Titillium" w:cs="Arial"/>
          <w:b/>
          <w:bCs/>
          <w:i/>
          <w:sz w:val="18"/>
          <w:szCs w:val="18"/>
        </w:rPr>
        <w:t>In caso di</w:t>
      </w:r>
      <w:r w:rsidRPr="00E64307">
        <w:rPr>
          <w:rFonts w:ascii="Titillium" w:hAnsi="Titillium" w:cs="Arial"/>
          <w:b/>
          <w:bCs/>
          <w:i/>
          <w:sz w:val="18"/>
          <w:szCs w:val="18"/>
        </w:rPr>
        <w:t xml:space="preserve"> protocollo di legalità/patto di integrità</w:t>
      </w:r>
      <w:r w:rsidRPr="00E64307">
        <w:rPr>
          <w:rFonts w:ascii="Titillium" w:hAnsi="Titillium" w:cs="Arial"/>
          <w:b/>
          <w:i/>
          <w:sz w:val="18"/>
          <w:szCs w:val="18"/>
        </w:rPr>
        <w:t>]</w:t>
      </w:r>
      <w:r w:rsidRPr="00E64307">
        <w:rPr>
          <w:rFonts w:ascii="Titillium" w:hAnsi="Titillium" w:cs="Arial"/>
          <w:sz w:val="18"/>
          <w:szCs w:val="18"/>
        </w:rPr>
        <w:t xml:space="preserve"> La mancata accettazione delle clausole contenute nel protocollo di legalità/patto di integrità e il mancato rispetto dello stesso costituiscono causa di </w:t>
      </w:r>
      <w:r w:rsidRPr="00E64307">
        <w:rPr>
          <w:rFonts w:ascii="Titillium" w:hAnsi="Titillium" w:cs="Arial"/>
          <w:bCs/>
          <w:sz w:val="18"/>
          <w:szCs w:val="18"/>
        </w:rPr>
        <w:t xml:space="preserve">esclusione </w:t>
      </w:r>
      <w:r w:rsidRPr="00E64307">
        <w:rPr>
          <w:rFonts w:ascii="Titillium" w:hAnsi="Titillium" w:cs="Arial"/>
          <w:sz w:val="18"/>
          <w:szCs w:val="18"/>
        </w:rPr>
        <w:t>dalla gara, ai sensi dell’articolo 83</w:t>
      </w:r>
      <w:r>
        <w:rPr>
          <w:rFonts w:ascii="Titillium" w:hAnsi="Titillium" w:cs="Arial"/>
          <w:sz w:val="18"/>
          <w:szCs w:val="18"/>
        </w:rPr>
        <w:t>-</w:t>
      </w:r>
      <w:r w:rsidRPr="00E64307">
        <w:rPr>
          <w:rFonts w:ascii="Titillium" w:hAnsi="Titillium" w:cs="Arial"/>
          <w:sz w:val="18"/>
          <w:szCs w:val="18"/>
        </w:rPr>
        <w:t>bis del decreto legislativo n. 159/2011.</w:t>
      </w:r>
      <w:r w:rsidRPr="00E64307">
        <w:rPr>
          <w:rFonts w:ascii="Titillium" w:hAnsi="Titillium" w:cs="Calibri"/>
          <w:sz w:val="18"/>
          <w:szCs w:val="18"/>
        </w:rPr>
        <w:t xml:space="preserve"> </w:t>
      </w:r>
    </w:p>
    <w:p w14:paraId="7EC3A76A" w14:textId="77777777" w:rsidR="00276DF7" w:rsidRDefault="00276DF7" w:rsidP="00276DF7">
      <w:pPr>
        <w:shd w:val="clear" w:color="auto" w:fill="F2F2F2" w:themeFill="background1" w:themeFillShade="F2"/>
        <w:spacing w:after="120"/>
        <w:rPr>
          <w:rFonts w:ascii="Titillium" w:hAnsi="Titillium" w:cs="Arial"/>
          <w:b/>
          <w:bCs/>
          <w:i/>
          <w:sz w:val="18"/>
          <w:szCs w:val="18"/>
        </w:rPr>
      </w:pPr>
      <w:r w:rsidRPr="00243A6C">
        <w:rPr>
          <w:rFonts w:ascii="Titillium" w:hAnsi="Titillium" w:cs="Arial"/>
          <w:b/>
          <w:i/>
          <w:sz w:val="18"/>
          <w:szCs w:val="18"/>
        </w:rPr>
        <w:t>[</w:t>
      </w:r>
      <w:r>
        <w:rPr>
          <w:rFonts w:ascii="Titillium" w:hAnsi="Titillium" w:cs="Arial"/>
          <w:b/>
          <w:bCs/>
          <w:i/>
          <w:sz w:val="18"/>
          <w:szCs w:val="18"/>
        </w:rPr>
        <w:t>I</w:t>
      </w:r>
      <w:r w:rsidRPr="00243A6C">
        <w:rPr>
          <w:rFonts w:ascii="Titillium" w:hAnsi="Titillium" w:cs="Arial"/>
          <w:b/>
          <w:bCs/>
          <w:i/>
          <w:sz w:val="18"/>
          <w:szCs w:val="18"/>
        </w:rPr>
        <w:t xml:space="preserve">n caso di procedure </w:t>
      </w:r>
      <w:r>
        <w:rPr>
          <w:rFonts w:ascii="Titillium" w:hAnsi="Titillium" w:cs="Arial"/>
          <w:b/>
          <w:bCs/>
          <w:i/>
          <w:sz w:val="18"/>
          <w:szCs w:val="18"/>
        </w:rPr>
        <w:t xml:space="preserve">riservate ai sensi dell’articolo 61 del codice e/o di procedure </w:t>
      </w:r>
      <w:r w:rsidRPr="00243A6C">
        <w:rPr>
          <w:rFonts w:ascii="Titillium" w:hAnsi="Titillium" w:cs="Arial"/>
          <w:b/>
          <w:bCs/>
          <w:i/>
          <w:sz w:val="18"/>
          <w:szCs w:val="18"/>
        </w:rPr>
        <w:t xml:space="preserve">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243A6C">
        <w:rPr>
          <w:rFonts w:ascii="Titillium" w:hAnsi="Titillium" w:cs="Courier New"/>
          <w:b/>
          <w:i/>
          <w:sz w:val="18"/>
          <w:szCs w:val="18"/>
        </w:rPr>
        <w:t>decreto legge 31 maggio 2021, n. 77, convertito, con modificazioni, dalla legge 29 luglio 2021, n. 108</w:t>
      </w:r>
      <w:r w:rsidRPr="00243A6C">
        <w:rPr>
          <w:rFonts w:ascii="Titillium" w:hAnsi="Titillium" w:cs="Arial"/>
          <w:b/>
          <w:bCs/>
          <w:i/>
          <w:sz w:val="18"/>
          <w:szCs w:val="18"/>
        </w:rPr>
        <w:t xml:space="preserve">]  </w:t>
      </w:r>
    </w:p>
    <w:p w14:paraId="32FA88EA" w14:textId="77777777" w:rsidR="00276DF7" w:rsidRDefault="00276DF7" w:rsidP="00276DF7">
      <w:pPr>
        <w:shd w:val="clear" w:color="auto" w:fill="F2F2F2" w:themeFill="background1" w:themeFillShade="F2"/>
        <w:spacing w:after="120"/>
        <w:rPr>
          <w:rFonts w:ascii="Titillium" w:hAnsi="Titillium" w:cs="Arial"/>
          <w:b/>
          <w:bCs/>
          <w:i/>
          <w:sz w:val="18"/>
          <w:szCs w:val="18"/>
        </w:rPr>
      </w:pPr>
      <w:r w:rsidRPr="00243A6C">
        <w:rPr>
          <w:rFonts w:ascii="Titillium" w:hAnsi="Titillium" w:cs="Arial"/>
          <w:sz w:val="18"/>
          <w:szCs w:val="18"/>
        </w:rPr>
        <w:t>Sono esclusi dalla procedura di gara  gli operatori economici</w:t>
      </w:r>
      <w:r w:rsidRPr="00243A6C">
        <w:rPr>
          <w:rFonts w:ascii="Titillium" w:hAnsi="Titillium" w:cs="Calibri"/>
          <w:sz w:val="18"/>
          <w:szCs w:val="18"/>
        </w:rPr>
        <w:t xml:space="preserve"> che occupano oltre cinquanta dipendenti, </w:t>
      </w:r>
      <w:r>
        <w:rPr>
          <w:rFonts w:ascii="Titillium" w:hAnsi="Titillium" w:cs="Calibri"/>
          <w:sz w:val="18"/>
          <w:szCs w:val="18"/>
        </w:rPr>
        <w:t xml:space="preserve">che non consegnano, </w:t>
      </w:r>
      <w:r w:rsidRPr="00243A6C">
        <w:rPr>
          <w:rFonts w:ascii="Titillium" w:hAnsi="Titillium" w:cs="Calibri"/>
          <w:sz w:val="18"/>
          <w:szCs w:val="18"/>
        </w:rPr>
        <w:t xml:space="preserve">al momento della presentazione dell'offerta, copia dell'ultimo rapporto periodico sulla situazione del personale </w:t>
      </w:r>
      <w:r w:rsidRPr="00243A6C">
        <w:rPr>
          <w:rFonts w:ascii="Titillium" w:hAnsi="Titillium" w:cs="Courier New"/>
          <w:sz w:val="18"/>
          <w:szCs w:val="18"/>
        </w:rPr>
        <w:t>maschile e femminile redatto ai sensi dell’articolo 46, decreto legislativo n. 198 del 2006,</w:t>
      </w:r>
      <w:r w:rsidRPr="00243A6C">
        <w:rPr>
          <w:rFonts w:ascii="Titillium" w:hAnsi="Titillium" w:cs="Calibri"/>
          <w:sz w:val="18"/>
          <w:szCs w:val="18"/>
        </w:rPr>
        <w:t xml:space="preserve"> </w:t>
      </w:r>
      <w:r>
        <w:rPr>
          <w:rFonts w:ascii="Titillium" w:hAnsi="Titillium" w:cs="Calibri"/>
          <w:sz w:val="18"/>
          <w:szCs w:val="18"/>
        </w:rPr>
        <w:t>unitamente all’</w:t>
      </w:r>
      <w:r w:rsidRPr="00243A6C">
        <w:rPr>
          <w:rFonts w:ascii="Titillium" w:hAnsi="Titillium" w:cs="Calibri"/>
          <w:sz w:val="18"/>
          <w:szCs w:val="18"/>
        </w:rPr>
        <w:t xml:space="preserve">attestazione </w:t>
      </w:r>
      <w:r>
        <w:rPr>
          <w:rFonts w:ascii="Titillium" w:hAnsi="Titillium" w:cs="Calibri"/>
          <w:sz w:val="18"/>
          <w:szCs w:val="18"/>
        </w:rPr>
        <w:t>di</w:t>
      </w:r>
      <w:r w:rsidRPr="00243A6C">
        <w:rPr>
          <w:rFonts w:ascii="Titillium" w:hAnsi="Titillium" w:cs="Calibri"/>
          <w:sz w:val="18"/>
          <w:szCs w:val="18"/>
        </w:rPr>
        <w:t xml:space="preserve"> conformità a quello già trasmesso alle rappresentanze sindacali aziendali e ai consiglieri regionali di parità ovvero, in mancanza</w:t>
      </w:r>
      <w:r>
        <w:rPr>
          <w:rFonts w:ascii="Titillium" w:hAnsi="Titillium" w:cs="Calibri"/>
          <w:sz w:val="18"/>
          <w:szCs w:val="18"/>
        </w:rPr>
        <w:t xml:space="preserve"> di tale precedente trasmissione</w:t>
      </w:r>
      <w:r w:rsidRPr="00243A6C">
        <w:rPr>
          <w:rFonts w:ascii="Titillium" w:hAnsi="Titillium" w:cs="Calibri"/>
          <w:sz w:val="18"/>
          <w:szCs w:val="18"/>
        </w:rPr>
        <w:t xml:space="preserve">, </w:t>
      </w:r>
      <w:r>
        <w:rPr>
          <w:rFonts w:ascii="Titillium" w:hAnsi="Titillium" w:cs="Calibri"/>
          <w:sz w:val="18"/>
          <w:szCs w:val="18"/>
        </w:rPr>
        <w:t>unitamente all’</w:t>
      </w:r>
      <w:r w:rsidRPr="00243A6C">
        <w:rPr>
          <w:rFonts w:ascii="Titillium" w:hAnsi="Titillium" w:cs="Calibri"/>
          <w:sz w:val="18"/>
          <w:szCs w:val="18"/>
        </w:rPr>
        <w:t>attestazione della sua contestuale trasmissione alle rappresentanze sindacali aziendali e alla consigliera e al consigliere regionale di parità.</w:t>
      </w:r>
      <w:r w:rsidRPr="00243A6C">
        <w:rPr>
          <w:rFonts w:ascii="Titillium" w:hAnsi="Titillium" w:cs="Arial"/>
          <w:b/>
          <w:bCs/>
          <w:i/>
          <w:sz w:val="18"/>
          <w:szCs w:val="18"/>
        </w:rPr>
        <w:t xml:space="preserve"> </w:t>
      </w:r>
    </w:p>
    <w:p w14:paraId="50635924" w14:textId="77777777" w:rsidR="00276DF7" w:rsidRDefault="00276DF7" w:rsidP="00276DF7">
      <w:pPr>
        <w:shd w:val="clear" w:color="auto" w:fill="F2F2F2" w:themeFill="background1" w:themeFillShade="F2"/>
        <w:spacing w:before="60"/>
        <w:rPr>
          <w:rFonts w:ascii="Titillium" w:hAnsi="Titillium" w:cs="Arial"/>
          <w:sz w:val="18"/>
          <w:szCs w:val="18"/>
        </w:rPr>
      </w:pPr>
      <w:r w:rsidRPr="009F414F">
        <w:rPr>
          <w:rFonts w:ascii="Titillium" w:hAnsi="Titillium" w:cs="Arial"/>
          <w:sz w:val="18"/>
          <w:szCs w:val="18"/>
        </w:rPr>
        <w:t xml:space="preserve">Sono esclusi dalla procedura di gara gli operatori economici </w:t>
      </w:r>
      <w:r w:rsidRPr="009F414F">
        <w:rPr>
          <w:rFonts w:ascii="Titillium" w:hAnsi="Titillium" w:cs="Courier New"/>
          <w:sz w:val="18"/>
          <w:szCs w:val="18"/>
        </w:rPr>
        <w:t>che occupano un numero di dipendenti pari o superiore a quindici e non superiore a cinquanta,</w:t>
      </w:r>
      <w:r w:rsidRPr="009F414F">
        <w:rPr>
          <w:rFonts w:ascii="Titillium" w:hAnsi="Titillium" w:cs="Arial"/>
          <w:sz w:val="18"/>
          <w:szCs w:val="18"/>
        </w:rPr>
        <w:t xml:space="preserve"> che nei dodici mesi precedenti al termine di presentazione dell’offerta hanno omesso di produrre alla stazione appaltante </w:t>
      </w:r>
      <w:r w:rsidRPr="009F414F">
        <w:rPr>
          <w:rFonts w:ascii="Titillium" w:hAnsi="Titillium" w:cs="Courier New"/>
          <w:sz w:val="18"/>
          <w:szCs w:val="18"/>
        </w:rPr>
        <w:t xml:space="preserve">di un precedente contratto d’appalto finanziato in tutto o in parte </w:t>
      </w:r>
      <w:r w:rsidRPr="009F414F">
        <w:rPr>
          <w:rFonts w:ascii="Titillium" w:hAnsi="Titillium" w:cs="Courier New"/>
          <w:sz w:val="18"/>
          <w:szCs w:val="18"/>
        </w:rPr>
        <w:lastRenderedPageBreak/>
        <w:t>con i fondi del PNRR o del PNC</w:t>
      </w:r>
      <w:r>
        <w:rPr>
          <w:rFonts w:ascii="Titillium" w:hAnsi="Titillium" w:cs="Courier New"/>
          <w:sz w:val="18"/>
          <w:szCs w:val="18"/>
        </w:rPr>
        <w:t xml:space="preserve"> o di un precedente contratto riservato ai sensi dell’articolo 61 del codice</w:t>
      </w:r>
      <w:r w:rsidRPr="009F414F">
        <w:rPr>
          <w:rFonts w:ascii="Titillium" w:hAnsi="Titillium" w:cs="Courier New"/>
          <w:sz w:val="18"/>
          <w:szCs w:val="18"/>
        </w:rPr>
        <w:t>,</w:t>
      </w:r>
      <w:r w:rsidRPr="009F414F">
        <w:rPr>
          <w:rFonts w:ascii="Titillium" w:hAnsi="Titillium" w:cs="Arial"/>
          <w:sz w:val="18"/>
          <w:szCs w:val="18"/>
        </w:rPr>
        <w:t xml:space="preserve"> la relazione di cui all’articolo 47, comma 3 del decreto legge n. 77 del 2021.</w:t>
      </w:r>
    </w:p>
    <w:p w14:paraId="0E5F95A5" w14:textId="77777777" w:rsidR="00276DF7" w:rsidRDefault="00276DF7" w:rsidP="00276DF7">
      <w:pPr>
        <w:pStyle w:val="Titolo2"/>
        <w:numPr>
          <w:ilvl w:val="0"/>
          <w:numId w:val="4"/>
        </w:numPr>
        <w:shd w:val="clear" w:color="auto" w:fill="F2F2F2" w:themeFill="background1" w:themeFillShade="F2"/>
        <w:ind w:left="357" w:hanging="357"/>
      </w:pPr>
      <w:bookmarkStart w:id="1404" w:name="_Toc86769502"/>
      <w:bookmarkStart w:id="1405" w:name="_Toc87253509"/>
      <w:bookmarkStart w:id="1406" w:name="_Toc87253568"/>
      <w:bookmarkStart w:id="1407" w:name="_Toc86769503"/>
      <w:bookmarkStart w:id="1408" w:name="_Toc87253510"/>
      <w:bookmarkStart w:id="1409" w:name="_Toc87253569"/>
      <w:bookmarkStart w:id="1410" w:name="_Toc86769504"/>
      <w:bookmarkStart w:id="1411" w:name="_Toc87253511"/>
      <w:bookmarkStart w:id="1412" w:name="_Toc87253570"/>
      <w:bookmarkStart w:id="1413" w:name="_Ref497211510"/>
      <w:bookmarkStart w:id="1414" w:name="_Toc139549423"/>
      <w:bookmarkEnd w:id="1404"/>
      <w:bookmarkEnd w:id="1405"/>
      <w:bookmarkEnd w:id="1406"/>
      <w:bookmarkEnd w:id="1407"/>
      <w:bookmarkEnd w:id="1408"/>
      <w:bookmarkEnd w:id="1409"/>
      <w:bookmarkEnd w:id="1410"/>
      <w:bookmarkEnd w:id="1411"/>
      <w:bookmarkEnd w:id="1412"/>
      <w:r>
        <w:rPr>
          <w:rFonts w:ascii="Titillium" w:hAnsi="Titillium"/>
          <w:sz w:val="18"/>
          <w:szCs w:val="18"/>
        </w:rPr>
        <w:t xml:space="preserve">REQUISITI </w:t>
      </w:r>
      <w:r>
        <w:rPr>
          <w:rFonts w:ascii="Titillium" w:hAnsi="Titillium"/>
          <w:sz w:val="18"/>
          <w:szCs w:val="18"/>
          <w:lang w:val="it-IT"/>
        </w:rPr>
        <w:t xml:space="preserve">DI ORDINE SPECIALE E </w:t>
      </w:r>
      <w:r>
        <w:rPr>
          <w:rFonts w:ascii="Titillium" w:hAnsi="Titillium"/>
          <w:caps w:val="0"/>
          <w:sz w:val="18"/>
          <w:szCs w:val="18"/>
          <w:lang w:val="it-IT"/>
        </w:rPr>
        <w:t>MEZZI DI PROVA</w:t>
      </w:r>
      <w:bookmarkEnd w:id="1413"/>
      <w:bookmarkEnd w:id="1414"/>
    </w:p>
    <w:p w14:paraId="03FC8D13"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I concorrenti devono possedere</w:t>
      </w:r>
      <w:r w:rsidRPr="00D71C8F">
        <w:rPr>
          <w:rFonts w:ascii="Titillium" w:hAnsi="Titillium" w:cs="Calibri"/>
          <w:sz w:val="18"/>
          <w:szCs w:val="18"/>
        </w:rPr>
        <w:t xml:space="preserve">, </w:t>
      </w:r>
      <w:r w:rsidRPr="00D71C8F">
        <w:rPr>
          <w:rFonts w:ascii="Titillium" w:hAnsi="Titillium" w:cs="Calibri"/>
          <w:bCs/>
          <w:sz w:val="18"/>
          <w:szCs w:val="18"/>
        </w:rPr>
        <w:t>a pena di esclusione</w:t>
      </w:r>
      <w:r w:rsidRPr="00D71C8F">
        <w:rPr>
          <w:rFonts w:ascii="Titillium" w:hAnsi="Titillium" w:cs="Calibri"/>
          <w:sz w:val="18"/>
          <w:szCs w:val="18"/>
        </w:rPr>
        <w:t xml:space="preserve">, </w:t>
      </w:r>
      <w:r>
        <w:rPr>
          <w:rFonts w:ascii="Titillium" w:hAnsi="Titillium" w:cs="Calibri"/>
          <w:sz w:val="18"/>
          <w:szCs w:val="18"/>
        </w:rPr>
        <w:t xml:space="preserve">i requisiti previsti nei commi seguenti. </w:t>
      </w:r>
    </w:p>
    <w:p w14:paraId="0ABCB2E0"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La stazione appaltante verifica il </w:t>
      </w:r>
      <w:r w:rsidRPr="00597765">
        <w:rPr>
          <w:rFonts w:ascii="Titillium" w:hAnsi="Titillium" w:cs="Calibri"/>
          <w:sz w:val="18"/>
          <w:szCs w:val="18"/>
        </w:rPr>
        <w:t>possesso dei requisiti di ordine speciale</w:t>
      </w:r>
      <w:r>
        <w:rPr>
          <w:rFonts w:ascii="Titillium" w:hAnsi="Titillium" w:cs="Calibri"/>
          <w:sz w:val="18"/>
          <w:szCs w:val="18"/>
        </w:rPr>
        <w:t xml:space="preserve"> accedendo al </w:t>
      </w:r>
      <w:r w:rsidRPr="00597765">
        <w:rPr>
          <w:rFonts w:ascii="Titillium" w:hAnsi="Titillium" w:cs="Calibri"/>
          <w:sz w:val="18"/>
          <w:szCs w:val="18"/>
        </w:rPr>
        <w:t>fascicolo virtuale dell’operatore economico</w:t>
      </w:r>
      <w:r>
        <w:rPr>
          <w:rFonts w:ascii="Titillium" w:hAnsi="Titillium" w:cs="Calibri"/>
          <w:sz w:val="18"/>
          <w:szCs w:val="18"/>
        </w:rPr>
        <w:t xml:space="preserve"> (FVOE)</w:t>
      </w:r>
      <w:r w:rsidRPr="00597765">
        <w:rPr>
          <w:rFonts w:ascii="Titillium" w:hAnsi="Titillium" w:cs="Calibri"/>
          <w:sz w:val="18"/>
          <w:szCs w:val="18"/>
        </w:rPr>
        <w:t xml:space="preserve">. </w:t>
      </w:r>
    </w:p>
    <w:p w14:paraId="0426EBDC"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597765">
        <w:rPr>
          <w:rFonts w:ascii="Titillium" w:hAnsi="Titillium" w:cs="Calibri"/>
          <w:sz w:val="18"/>
          <w:szCs w:val="18"/>
        </w:rPr>
        <w:t xml:space="preserve">L’operatore economico </w:t>
      </w:r>
      <w:r>
        <w:rPr>
          <w:rFonts w:ascii="Titillium" w:hAnsi="Titillium" w:cs="Calibri"/>
          <w:sz w:val="18"/>
          <w:szCs w:val="18"/>
        </w:rPr>
        <w:t>è tenuto ad inserire</w:t>
      </w:r>
      <w:r w:rsidRPr="00597765">
        <w:rPr>
          <w:rFonts w:ascii="Titillium" w:hAnsi="Titillium" w:cs="Calibri"/>
          <w:sz w:val="18"/>
          <w:szCs w:val="18"/>
        </w:rPr>
        <w:t xml:space="preserve"> </w:t>
      </w:r>
      <w:r>
        <w:rPr>
          <w:rFonts w:ascii="Titillium" w:hAnsi="Titillium" w:cs="Calibri"/>
          <w:sz w:val="18"/>
          <w:szCs w:val="18"/>
        </w:rPr>
        <w:t>nel FVOE</w:t>
      </w:r>
      <w:r w:rsidRPr="00597765">
        <w:rPr>
          <w:rFonts w:ascii="Titillium" w:hAnsi="Titillium" w:cs="Calibri"/>
          <w:sz w:val="18"/>
          <w:szCs w:val="18"/>
        </w:rPr>
        <w:t xml:space="preserve"> i dati e le informazioni </w:t>
      </w:r>
      <w:r>
        <w:rPr>
          <w:rFonts w:ascii="Titillium" w:hAnsi="Titillium" w:cs="Calibri"/>
          <w:sz w:val="18"/>
          <w:szCs w:val="18"/>
        </w:rPr>
        <w:t xml:space="preserve">richiesti per la comprova del requisito, qualora questi non siano già </w:t>
      </w:r>
      <w:r w:rsidRPr="00597765">
        <w:rPr>
          <w:rFonts w:ascii="Titillium" w:hAnsi="Titillium" w:cs="Calibri"/>
          <w:sz w:val="18"/>
          <w:szCs w:val="18"/>
        </w:rPr>
        <w:t xml:space="preserve">presenti </w:t>
      </w:r>
      <w:r>
        <w:rPr>
          <w:rFonts w:ascii="Titillium" w:hAnsi="Titillium" w:cs="Calibri"/>
          <w:sz w:val="18"/>
          <w:szCs w:val="18"/>
        </w:rPr>
        <w:t xml:space="preserve">nel fascicolo o non siano </w:t>
      </w:r>
      <w:r w:rsidRPr="00597765">
        <w:rPr>
          <w:rFonts w:ascii="Titillium" w:hAnsi="Titillium" w:cs="Calibri"/>
          <w:sz w:val="18"/>
          <w:szCs w:val="18"/>
        </w:rPr>
        <w:t>già in possesso della stazione appaltante e non possano essere acquisiti d’ufficio da quest’ultima.</w:t>
      </w:r>
    </w:p>
    <w:p w14:paraId="6432F80A" w14:textId="77777777" w:rsidR="00276DF7" w:rsidRPr="00D95F9F"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Arial"/>
          <w:i/>
          <w:iCs/>
          <w:sz w:val="18"/>
          <w:szCs w:val="18"/>
        </w:rPr>
      </w:pPr>
      <w:r w:rsidRPr="00D95F9F">
        <w:rPr>
          <w:rFonts w:ascii="Titillium" w:hAnsi="Titillium" w:cs="Calibri"/>
          <w:i/>
          <w:iCs/>
          <w:sz w:val="18"/>
          <w:szCs w:val="18"/>
        </w:rPr>
        <w:t xml:space="preserve">N.B.: </w:t>
      </w:r>
      <w:r w:rsidRPr="00D95F9F">
        <w:rPr>
          <w:rFonts w:ascii="Titillium" w:hAnsi="Titillium" w:cs="Arial"/>
          <w:i/>
          <w:iCs/>
          <w:sz w:val="18"/>
          <w:szCs w:val="18"/>
        </w:rPr>
        <w:t>I requisiti speciali per partecipare alla gara devono essere elencati esclusivamente nel disciplinare e non contenuti in altri documenti di gara.</w:t>
      </w:r>
    </w:p>
    <w:p w14:paraId="12627C6A" w14:textId="77777777" w:rsidR="00276DF7" w:rsidRPr="00D95F9F"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iCs/>
          <w:sz w:val="18"/>
          <w:szCs w:val="18"/>
        </w:rPr>
      </w:pPr>
      <w:r w:rsidRPr="00D95F9F">
        <w:rPr>
          <w:rFonts w:ascii="Titillium" w:hAnsi="Titillium" w:cs="Arial"/>
          <w:i/>
          <w:iCs/>
          <w:sz w:val="18"/>
          <w:szCs w:val="18"/>
        </w:rPr>
        <w:t>In caso di suddivisione della gara in lotti, le stazioni appaltanti specificano per ciascun requisito speciale per quale lotto è richiesto.</w:t>
      </w:r>
    </w:p>
    <w:p w14:paraId="674BADBF" w14:textId="77777777" w:rsidR="00276DF7" w:rsidRDefault="00276DF7" w:rsidP="00276DF7">
      <w:pPr>
        <w:pStyle w:val="Titolo3"/>
        <w:numPr>
          <w:ilvl w:val="1"/>
          <w:numId w:val="4"/>
        </w:numPr>
        <w:shd w:val="clear" w:color="auto" w:fill="F2F2F2" w:themeFill="background1" w:themeFillShade="F2"/>
        <w:ind w:left="426" w:hanging="426"/>
      </w:pPr>
      <w:bookmarkStart w:id="1415" w:name="_Toc497728144"/>
      <w:bookmarkStart w:id="1416" w:name="_Toc497484946"/>
      <w:bookmarkStart w:id="1417" w:name="_Toc498419731"/>
      <w:bookmarkStart w:id="1418" w:name="_Toc497831539"/>
      <w:bookmarkStart w:id="1419" w:name="_Ref128476563"/>
      <w:bookmarkStart w:id="1420" w:name="_Ref128681470"/>
      <w:bookmarkStart w:id="1421" w:name="_Toc139549424"/>
      <w:bookmarkEnd w:id="1415"/>
      <w:bookmarkEnd w:id="1416"/>
      <w:bookmarkEnd w:id="1417"/>
      <w:bookmarkEnd w:id="1418"/>
      <w:r>
        <w:rPr>
          <w:rFonts w:ascii="Titillium" w:hAnsi="Titillium"/>
          <w:caps w:val="0"/>
          <w:sz w:val="18"/>
          <w:szCs w:val="18"/>
          <w:lang w:val="it-IT"/>
        </w:rPr>
        <w:t>R</w:t>
      </w:r>
      <w:r>
        <w:rPr>
          <w:rFonts w:ascii="Titillium" w:hAnsi="Titillium"/>
          <w:caps w:val="0"/>
          <w:sz w:val="18"/>
          <w:szCs w:val="18"/>
        </w:rPr>
        <w:t>EQUISITI DI IDONEITÀ</w:t>
      </w:r>
      <w:bookmarkEnd w:id="1419"/>
      <w:r>
        <w:rPr>
          <w:rFonts w:ascii="Titillium" w:hAnsi="Titillium"/>
          <w:caps w:val="0"/>
          <w:sz w:val="18"/>
          <w:szCs w:val="18"/>
          <w:lang w:val="it-IT"/>
        </w:rPr>
        <w:t xml:space="preserve"> PROFESSIONALE</w:t>
      </w:r>
      <w:bookmarkEnd w:id="1420"/>
      <w:bookmarkEnd w:id="1421"/>
    </w:p>
    <w:p w14:paraId="5D555DEA" w14:textId="77777777" w:rsidR="00276DF7" w:rsidRDefault="00276DF7" w:rsidP="00276DF7">
      <w:pPr>
        <w:pStyle w:val="Paragrafoelenco"/>
        <w:numPr>
          <w:ilvl w:val="0"/>
          <w:numId w:val="5"/>
        </w:numPr>
        <w:shd w:val="clear" w:color="auto" w:fill="F2F2F2" w:themeFill="background1" w:themeFillShade="F2"/>
        <w:spacing w:before="60" w:after="60"/>
        <w:ind w:left="284" w:hanging="284"/>
      </w:pPr>
      <w:bookmarkStart w:id="1422" w:name="_Ref128681493"/>
      <w:r>
        <w:rPr>
          <w:rFonts w:ascii="Titillium" w:hAnsi="Titillium" w:cs="Arial"/>
          <w:b/>
          <w:sz w:val="18"/>
          <w:szCs w:val="18"/>
        </w:rPr>
        <w:t>Iscrizione</w:t>
      </w:r>
      <w:r>
        <w:rPr>
          <w:rFonts w:ascii="Titillium" w:hAnsi="Titillium" w:cs="Arial"/>
          <w:sz w:val="18"/>
          <w:szCs w:val="18"/>
        </w:rPr>
        <w:t xml:space="preserve"> nel R</w:t>
      </w:r>
      <w:r>
        <w:rPr>
          <w:rFonts w:ascii="Titillium" w:hAnsi="Titillium" w:cs="Calibri"/>
          <w:sz w:val="18"/>
          <w:szCs w:val="18"/>
        </w:rPr>
        <w:t>egistro delle Imprese oppure nell’Albo delle Imprese artigiane per attività pertinenti con quelle oggetto della prese</w:t>
      </w:r>
      <w:bookmarkStart w:id="1423" w:name="_Ref495411492"/>
      <w:bookmarkEnd w:id="1423"/>
      <w:r>
        <w:rPr>
          <w:rFonts w:ascii="Titillium" w:hAnsi="Titillium" w:cs="Calibri"/>
          <w:sz w:val="18"/>
          <w:szCs w:val="18"/>
        </w:rPr>
        <w:t>nte procedura di gara.</w:t>
      </w:r>
      <w:bookmarkEnd w:id="1422"/>
    </w:p>
    <w:p w14:paraId="2F00B892" w14:textId="77777777" w:rsidR="00276DF7" w:rsidRDefault="00276DF7" w:rsidP="00276DF7">
      <w:pPr>
        <w:shd w:val="clear" w:color="auto" w:fill="F2F2F2" w:themeFill="background1" w:themeFillShade="F2"/>
        <w:spacing w:before="60" w:after="60"/>
        <w:ind w:left="284"/>
        <w:rPr>
          <w:rFonts w:ascii="Titillium" w:hAnsi="Titillium" w:cs="Calibri"/>
          <w:sz w:val="18"/>
          <w:szCs w:val="18"/>
        </w:rPr>
      </w:pPr>
      <w:r>
        <w:rPr>
          <w:rFonts w:ascii="Titillium" w:hAnsi="Titillium" w:cs="Calibri"/>
          <w:sz w:val="18"/>
          <w:szCs w:val="18"/>
        </w:rPr>
        <w:t xml:space="preserve">Per l’operatore economico di altro Stato membro, non residente in Italia: iscrizione </w:t>
      </w:r>
      <w:r w:rsidRPr="007A77B0">
        <w:rPr>
          <w:rFonts w:ascii="Titillium" w:hAnsi="Titillium" w:cs="Calibri"/>
          <w:sz w:val="18"/>
          <w:szCs w:val="18"/>
        </w:rPr>
        <w:t>in uno dei registri professionali o commerciali</w:t>
      </w:r>
      <w:r>
        <w:rPr>
          <w:rFonts w:ascii="Titillium" w:hAnsi="Titillium" w:cs="Calibri"/>
          <w:sz w:val="18"/>
          <w:szCs w:val="18"/>
        </w:rPr>
        <w:t xml:space="preserve"> degli altri Stati membri di cui all’allegato II.11 del Codice;</w:t>
      </w:r>
    </w:p>
    <w:p w14:paraId="49B5755B" w14:textId="77777777" w:rsidR="00276DF7" w:rsidRPr="00387BEA" w:rsidRDefault="00276DF7" w:rsidP="00276DF7">
      <w:pPr>
        <w:shd w:val="clear" w:color="auto" w:fill="F2F2F2" w:themeFill="background1" w:themeFillShade="F2"/>
        <w:spacing w:before="60" w:after="60"/>
        <w:rPr>
          <w:rFonts w:ascii="Titillium" w:hAnsi="Titillium"/>
          <w:sz w:val="18"/>
          <w:szCs w:val="18"/>
        </w:rPr>
      </w:pPr>
      <w:r>
        <w:rPr>
          <w:rFonts w:ascii="Titillium" w:hAnsi="Titillium" w:cs="Calibri"/>
          <w:sz w:val="18"/>
          <w:szCs w:val="18"/>
        </w:rPr>
        <w:t>Ai fini della comprova, l</w:t>
      </w:r>
      <w:r w:rsidRPr="00387BEA">
        <w:rPr>
          <w:rFonts w:ascii="Titillium" w:hAnsi="Titillium" w:cs="Calibri"/>
          <w:sz w:val="18"/>
          <w:szCs w:val="18"/>
        </w:rPr>
        <w:t xml:space="preserve">’iscrizione nel Registro è acquisita d’ufficio dalla stazione appaltante tramite il FVOE. Gli operatori stabiliti in altri </w:t>
      </w:r>
      <w:r>
        <w:rPr>
          <w:rFonts w:ascii="Titillium" w:hAnsi="Titillium" w:cs="Calibri"/>
          <w:sz w:val="18"/>
          <w:szCs w:val="18"/>
        </w:rPr>
        <w:t>S</w:t>
      </w:r>
      <w:r w:rsidRPr="00387BEA">
        <w:rPr>
          <w:rFonts w:ascii="Titillium" w:hAnsi="Titillium" w:cs="Calibri"/>
          <w:sz w:val="18"/>
          <w:szCs w:val="18"/>
        </w:rPr>
        <w:t xml:space="preserve">tati </w:t>
      </w:r>
      <w:r w:rsidRPr="004176CD">
        <w:rPr>
          <w:rFonts w:ascii="Titillium" w:hAnsi="Titillium" w:cs="Calibri"/>
          <w:sz w:val="18"/>
          <w:szCs w:val="18"/>
        </w:rPr>
        <w:t>membri caricano nel fascicolo virtuale i dati e le informazioni utili alla comprova del requisito, se disponibili</w:t>
      </w:r>
      <w:r w:rsidRPr="004176CD">
        <w:rPr>
          <w:rFonts w:ascii="Titillium" w:hAnsi="Titillium"/>
          <w:sz w:val="18"/>
          <w:szCs w:val="18"/>
        </w:rPr>
        <w:t>.</w:t>
      </w:r>
    </w:p>
    <w:p w14:paraId="5164065D" w14:textId="77777777" w:rsidR="00276DF7" w:rsidRPr="00387BEA"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i/>
          <w:iCs/>
        </w:rPr>
      </w:pPr>
      <w:r w:rsidRPr="00387BEA">
        <w:rPr>
          <w:rFonts w:ascii="Titillium" w:hAnsi="Titillium"/>
          <w:i/>
          <w:iCs/>
          <w:sz w:val="18"/>
          <w:szCs w:val="18"/>
        </w:rPr>
        <w:t>NB L’iscrizione nel Registro delle imprese non è richiesta quando non è dovuta per l’esercizio dell’attività oggetto dell’affidamento</w:t>
      </w:r>
    </w:p>
    <w:p w14:paraId="0555039E" w14:textId="77777777" w:rsidR="00276DF7" w:rsidRDefault="00276DF7" w:rsidP="00276DF7">
      <w:pPr>
        <w:shd w:val="clear" w:color="auto" w:fill="F2F2F2" w:themeFill="background1" w:themeFillShade="F2"/>
        <w:spacing w:before="60" w:after="60"/>
        <w:ind w:left="284"/>
        <w:rPr>
          <w:rFonts w:ascii="Titillium" w:hAnsi="Titillium" w:cs="Calibri"/>
          <w:sz w:val="18"/>
          <w:szCs w:val="18"/>
        </w:rPr>
      </w:pPr>
    </w:p>
    <w:p w14:paraId="2978721B" w14:textId="77777777" w:rsidR="00276DF7" w:rsidRDefault="00276DF7" w:rsidP="00276DF7">
      <w:pPr>
        <w:pStyle w:val="Paragrafoelenco"/>
        <w:numPr>
          <w:ilvl w:val="0"/>
          <w:numId w:val="5"/>
        </w:numPr>
        <w:shd w:val="clear" w:color="auto" w:fill="F2F2F2" w:themeFill="background1" w:themeFillShade="F2"/>
        <w:spacing w:before="60" w:after="60"/>
        <w:ind w:left="284" w:hanging="284"/>
      </w:pPr>
      <w:bookmarkStart w:id="1424" w:name="_Ref495411511"/>
      <w:r w:rsidRPr="00387BEA">
        <w:rPr>
          <w:rFonts w:ascii="Titillium" w:hAnsi="Titillium" w:cs="Arial"/>
          <w:b/>
          <w:i/>
          <w:sz w:val="18"/>
          <w:szCs w:val="18"/>
        </w:rPr>
        <w:t xml:space="preserve">[In caso di ulteriori requisiti </w:t>
      </w:r>
      <w:r>
        <w:rPr>
          <w:rFonts w:ascii="Titillium" w:hAnsi="Titillium" w:cs="Arial"/>
          <w:b/>
          <w:i/>
          <w:sz w:val="18"/>
          <w:szCs w:val="18"/>
        </w:rPr>
        <w:t xml:space="preserve">di idoneità professionale </w:t>
      </w:r>
      <w:r w:rsidRPr="00387BEA">
        <w:rPr>
          <w:rFonts w:ascii="Titillium" w:hAnsi="Titillium" w:cs="Arial"/>
          <w:b/>
          <w:i/>
          <w:sz w:val="18"/>
          <w:szCs w:val="18"/>
        </w:rPr>
        <w:t>previsti dalla normativa vigente]</w:t>
      </w:r>
      <w:r w:rsidRPr="00387BEA">
        <w:rPr>
          <w:rFonts w:ascii="Titillium" w:hAnsi="Titillium" w:cs="Arial"/>
          <w:i/>
          <w:sz w:val="18"/>
          <w:szCs w:val="18"/>
        </w:rPr>
        <w:t xml:space="preserve"> </w:t>
      </w:r>
      <w:r>
        <w:rPr>
          <w:rFonts w:ascii="Titillium" w:hAnsi="Titillium" w:cs="Arial"/>
          <w:sz w:val="18"/>
          <w:szCs w:val="18"/>
        </w:rPr>
        <w:t>I</w:t>
      </w:r>
      <w:r w:rsidRPr="00387BEA">
        <w:rPr>
          <w:rFonts w:ascii="Titillium" w:hAnsi="Titillium" w:cs="Arial"/>
          <w:sz w:val="18"/>
          <w:szCs w:val="18"/>
        </w:rPr>
        <w:t>scrizione</w:t>
      </w:r>
      <w:r>
        <w:rPr>
          <w:rFonts w:ascii="Titillium" w:hAnsi="Titillium" w:cs="Arial"/>
          <w:sz w:val="18"/>
          <w:szCs w:val="18"/>
        </w:rPr>
        <w:t xml:space="preserve"> a </w:t>
      </w:r>
      <w:r>
        <w:rPr>
          <w:rFonts w:ascii="Titillium" w:hAnsi="Titillium" w:cs="Calibri"/>
          <w:i/>
          <w:sz w:val="18"/>
          <w:szCs w:val="18"/>
        </w:rPr>
        <w:t>… [inserire iscrizioni richieste per provare l’idoneità tecnica dell’impresa es: registri o albi se prescritta dalla legislazione vigente per l’esercizio, da parte del concorrente, dell’attività oggetto di appalto]</w:t>
      </w:r>
      <w:bookmarkEnd w:id="1424"/>
    </w:p>
    <w:p w14:paraId="0CBE4802" w14:textId="77777777" w:rsidR="00276DF7" w:rsidRDefault="00276DF7" w:rsidP="00276DF7">
      <w:pPr>
        <w:shd w:val="clear" w:color="auto" w:fill="F2F2F2" w:themeFill="background1" w:themeFillShade="F2"/>
        <w:spacing w:before="60" w:after="60"/>
        <w:ind w:left="284"/>
        <w:rPr>
          <w:rFonts w:ascii="Titillium" w:hAnsi="Titillium" w:cs="Calibri"/>
          <w:sz w:val="18"/>
          <w:szCs w:val="18"/>
        </w:rPr>
      </w:pPr>
      <w:r>
        <w:rPr>
          <w:rFonts w:ascii="Titillium" w:hAnsi="Titillium" w:cs="Calibri"/>
          <w:sz w:val="18"/>
          <w:szCs w:val="18"/>
        </w:rPr>
        <w:t>Per l’operatore economico di altro Stato membro, non residente in Italia: secondo le modalità vigenti nello Stato nel quale è stabilito.</w:t>
      </w:r>
    </w:p>
    <w:p w14:paraId="7ADD322A" w14:textId="77777777" w:rsidR="00276DF7" w:rsidRPr="00425F22" w:rsidRDefault="00276DF7" w:rsidP="00276DF7">
      <w:pPr>
        <w:pStyle w:val="Paragrafoelenco"/>
        <w:shd w:val="clear" w:color="auto" w:fill="F2F2F2" w:themeFill="background1" w:themeFillShade="F2"/>
        <w:spacing w:before="60" w:after="60"/>
        <w:ind w:left="0"/>
        <w:rPr>
          <w:rFonts w:ascii="Titillium" w:hAnsi="Titillium" w:cs="Arial"/>
          <w:i/>
          <w:iCs/>
          <w:sz w:val="18"/>
          <w:szCs w:val="18"/>
        </w:rPr>
      </w:pPr>
      <w:r w:rsidRPr="00387BEA">
        <w:rPr>
          <w:rFonts w:ascii="Titillium" w:hAnsi="Titillium" w:cs="Arial"/>
          <w:sz w:val="18"/>
          <w:szCs w:val="18"/>
        </w:rPr>
        <w:t xml:space="preserve">La comprova di tale requisito è fornita </w:t>
      </w:r>
      <w:r>
        <w:rPr>
          <w:rFonts w:ascii="Titillium" w:hAnsi="Titillium" w:cs="Arial"/>
          <w:sz w:val="18"/>
          <w:szCs w:val="18"/>
        </w:rPr>
        <w:t xml:space="preserve">mediante </w:t>
      </w:r>
      <w:r w:rsidRPr="00387BEA">
        <w:rPr>
          <w:rFonts w:ascii="Titillium" w:hAnsi="Titillium" w:cs="Arial"/>
          <w:sz w:val="18"/>
          <w:szCs w:val="18"/>
        </w:rPr>
        <w:t xml:space="preserve">…… </w:t>
      </w:r>
      <w:r w:rsidRPr="00387BEA">
        <w:rPr>
          <w:rFonts w:ascii="Titillium" w:hAnsi="Titillium" w:cs="Arial"/>
          <w:i/>
          <w:sz w:val="18"/>
          <w:szCs w:val="18"/>
        </w:rPr>
        <w:t xml:space="preserve">[indicare </w:t>
      </w:r>
      <w:r>
        <w:rPr>
          <w:rFonts w:ascii="Titillium" w:hAnsi="Titillium" w:cs="Arial"/>
          <w:i/>
          <w:sz w:val="18"/>
          <w:szCs w:val="18"/>
        </w:rPr>
        <w:t>i documenti a comprova</w:t>
      </w:r>
      <w:r w:rsidRPr="00425F22">
        <w:rPr>
          <w:rFonts w:ascii="Titillium" w:hAnsi="Titillium" w:cs="Arial"/>
          <w:i/>
          <w:iCs/>
          <w:sz w:val="18"/>
          <w:szCs w:val="18"/>
        </w:rPr>
        <w:t>].</w:t>
      </w:r>
    </w:p>
    <w:p w14:paraId="12DA735D" w14:textId="77777777" w:rsidR="00276DF7" w:rsidRDefault="00276DF7" w:rsidP="00276DF7">
      <w:pPr>
        <w:pStyle w:val="Titolo3"/>
        <w:numPr>
          <w:ilvl w:val="1"/>
          <w:numId w:val="4"/>
        </w:numPr>
        <w:shd w:val="clear" w:color="auto" w:fill="F2F2F2" w:themeFill="background1" w:themeFillShade="F2"/>
        <w:ind w:left="426" w:hanging="426"/>
      </w:pPr>
      <w:bookmarkStart w:id="1425" w:name="_Toc484688287"/>
      <w:bookmarkStart w:id="1426" w:name="_Toc484605418"/>
      <w:bookmarkStart w:id="1427" w:name="_Toc484605294"/>
      <w:bookmarkStart w:id="1428" w:name="_Toc484526574"/>
      <w:bookmarkStart w:id="1429" w:name="_Toc484449079"/>
      <w:bookmarkStart w:id="1430" w:name="_Toc484448955"/>
      <w:bookmarkStart w:id="1431" w:name="_Toc484448831"/>
      <w:bookmarkStart w:id="1432" w:name="_Toc484448708"/>
      <w:bookmarkStart w:id="1433" w:name="_Toc484448584"/>
      <w:bookmarkStart w:id="1434" w:name="_Toc484448460"/>
      <w:bookmarkStart w:id="1435" w:name="_Toc484448336"/>
      <w:bookmarkStart w:id="1436" w:name="_Toc484448212"/>
      <w:bookmarkStart w:id="1437" w:name="_Toc484448087"/>
      <w:bookmarkStart w:id="1438" w:name="_Toc484440428"/>
      <w:bookmarkStart w:id="1439" w:name="_Toc484440068"/>
      <w:bookmarkStart w:id="1440" w:name="_Toc484439944"/>
      <w:bookmarkStart w:id="1441" w:name="_Toc484439821"/>
      <w:bookmarkStart w:id="1442" w:name="_Toc484438901"/>
      <w:bookmarkStart w:id="1443" w:name="_Toc484438777"/>
      <w:bookmarkStart w:id="1444" w:name="_Toc484438653"/>
      <w:bookmarkStart w:id="1445" w:name="_Toc484429078"/>
      <w:bookmarkStart w:id="1446" w:name="_Toc484428908"/>
      <w:bookmarkStart w:id="1447" w:name="_Toc484097736"/>
      <w:bookmarkStart w:id="1448" w:name="_Toc484011662"/>
      <w:bookmarkStart w:id="1449" w:name="_Toc484011187"/>
      <w:bookmarkStart w:id="1450" w:name="_Toc484011065"/>
      <w:bookmarkStart w:id="1451" w:name="_Toc484010943"/>
      <w:bookmarkStart w:id="1452" w:name="_Toc484010819"/>
      <w:bookmarkStart w:id="1453" w:name="_Toc484010697"/>
      <w:bookmarkStart w:id="1454" w:name="_Toc483906947"/>
      <w:bookmarkStart w:id="1455" w:name="_Toc483571570"/>
      <w:bookmarkStart w:id="1456" w:name="_Toc483571449"/>
      <w:bookmarkStart w:id="1457" w:name="_Toc483474020"/>
      <w:bookmarkStart w:id="1458" w:name="_Toc483401223"/>
      <w:bookmarkStart w:id="1459" w:name="_Toc483325744"/>
      <w:bookmarkStart w:id="1460" w:name="_Toc483316441"/>
      <w:bookmarkStart w:id="1461" w:name="_Toc483316310"/>
      <w:bookmarkStart w:id="1462" w:name="_Toc483316107"/>
      <w:bookmarkStart w:id="1463" w:name="_Toc483315902"/>
      <w:bookmarkStart w:id="1464" w:name="_Toc483302352"/>
      <w:bookmarkStart w:id="1465" w:name="_Toc485218278"/>
      <w:bookmarkStart w:id="1466" w:name="_Toc484688842"/>
      <w:bookmarkStart w:id="1467" w:name="_Ref495411575"/>
      <w:bookmarkStart w:id="1468" w:name="_Toc139549425"/>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Pr>
          <w:rFonts w:ascii="Titillium" w:hAnsi="Titillium"/>
          <w:caps w:val="0"/>
          <w:sz w:val="18"/>
          <w:szCs w:val="18"/>
          <w:lang w:val="it-IT"/>
        </w:rPr>
        <w:t>R</w:t>
      </w:r>
      <w:r>
        <w:rPr>
          <w:rFonts w:ascii="Titillium" w:hAnsi="Titillium"/>
          <w:caps w:val="0"/>
          <w:sz w:val="18"/>
          <w:szCs w:val="18"/>
        </w:rPr>
        <w:t>EQUISITI DI CAPACITÀ ECONOMICA E FINANZIARIA</w:t>
      </w:r>
      <w:bookmarkEnd w:id="1467"/>
      <w:bookmarkEnd w:id="1468"/>
      <w:r>
        <w:rPr>
          <w:rFonts w:ascii="Titillium" w:hAnsi="Titillium"/>
          <w:caps w:val="0"/>
          <w:sz w:val="18"/>
          <w:szCs w:val="18"/>
          <w:lang w:val="it-IT"/>
        </w:rPr>
        <w:t xml:space="preserve"> </w:t>
      </w:r>
    </w:p>
    <w:p w14:paraId="6188853C" w14:textId="77777777" w:rsidR="00276DF7" w:rsidRPr="00884F7A" w:rsidRDefault="00276DF7" w:rsidP="00276DF7">
      <w:pPr>
        <w:pStyle w:val="Paragrafoelenco"/>
        <w:numPr>
          <w:ilvl w:val="0"/>
          <w:numId w:val="68"/>
        </w:numPr>
        <w:shd w:val="clear" w:color="auto" w:fill="F2F2F2" w:themeFill="background1" w:themeFillShade="F2"/>
        <w:spacing w:before="60" w:after="60"/>
        <w:ind w:left="284" w:hanging="284"/>
        <w:rPr>
          <w:rFonts w:ascii="Titillium" w:hAnsi="Titillium" w:cs="Arial"/>
          <w:b/>
          <w:iCs/>
          <w:sz w:val="18"/>
          <w:szCs w:val="18"/>
        </w:rPr>
      </w:pPr>
      <w:r w:rsidRPr="00884F7A">
        <w:rPr>
          <w:rFonts w:ascii="Titillium" w:hAnsi="Titillium" w:cs="Arial"/>
          <w:b/>
          <w:i/>
          <w:sz w:val="18"/>
          <w:szCs w:val="18"/>
        </w:rPr>
        <w:t xml:space="preserve">[Facoltativo] </w:t>
      </w:r>
      <w:r w:rsidRPr="00884F7A">
        <w:rPr>
          <w:rFonts w:ascii="Titillium" w:hAnsi="Titillium" w:cs="Arial"/>
          <w:b/>
          <w:iCs/>
          <w:sz w:val="18"/>
          <w:szCs w:val="18"/>
        </w:rPr>
        <w:t xml:space="preserve">Fatturato globale maturato nel triennio precedente almeno pari € … IVA esclusa </w:t>
      </w:r>
    </w:p>
    <w:p w14:paraId="4D6C2F74" w14:textId="77777777" w:rsidR="00276DF7" w:rsidRPr="003E4EEF" w:rsidRDefault="00276DF7" w:rsidP="00276DF7">
      <w:pPr>
        <w:shd w:val="clear" w:color="auto" w:fill="F2F2F2" w:themeFill="background1" w:themeFillShade="F2"/>
        <w:rPr>
          <w:rFonts w:ascii="Titillium" w:hAnsi="Titillium" w:cs="Arial"/>
          <w:i/>
          <w:sz w:val="18"/>
        </w:rPr>
      </w:pPr>
      <w:r w:rsidRPr="003E4EEF">
        <w:rPr>
          <w:rFonts w:ascii="Titillium" w:hAnsi="Titillium" w:cs="Arial"/>
          <w:i/>
          <w:sz w:val="18"/>
        </w:rPr>
        <w:t>[Nel caso di suddivisione in lotti indicare il requisito richiesto per ciascun lotto o gruppi di lotti aggiudicabili contemporaneamente. Nel caso in cui sia previsto un numero massimo di lotti aggiudicabili al medesimo operatore economico, il requisito richiesto deve essere commisurato al numero massimo di lotti aggiudicabili di maggior valore].</w:t>
      </w:r>
    </w:p>
    <w:p w14:paraId="4A655B1E" w14:textId="77777777" w:rsidR="00276DF7" w:rsidRDefault="00276DF7" w:rsidP="00276DF7">
      <w:pPr>
        <w:shd w:val="clear" w:color="auto" w:fill="F2F2F2" w:themeFill="background1" w:themeFillShade="F2"/>
      </w:pPr>
      <w:r w:rsidRPr="003E4EEF">
        <w:rPr>
          <w:rFonts w:ascii="Titillium" w:hAnsi="Titillium" w:cs="Arial"/>
          <w:sz w:val="18"/>
          <w:szCs w:val="18"/>
          <w:u w:val="single"/>
        </w:rPr>
        <w:t>La comprova del requisito</w:t>
      </w:r>
      <w:r w:rsidRPr="003E4EEF">
        <w:rPr>
          <w:rFonts w:ascii="Titillium" w:hAnsi="Titillium" w:cs="Arial"/>
          <w:sz w:val="18"/>
          <w:szCs w:val="18"/>
        </w:rPr>
        <w:t xml:space="preserve"> è fornita mediante uno dei seguenti documenti:</w:t>
      </w:r>
    </w:p>
    <w:p w14:paraId="2D656FE8" w14:textId="77777777" w:rsidR="00276DF7" w:rsidRDefault="00276DF7" w:rsidP="00276DF7">
      <w:pPr>
        <w:pStyle w:val="Paragrafoelenco"/>
        <w:numPr>
          <w:ilvl w:val="0"/>
          <w:numId w:val="10"/>
        </w:numPr>
        <w:shd w:val="clear" w:color="auto" w:fill="F2F2F2" w:themeFill="background1" w:themeFillShade="F2"/>
      </w:pPr>
      <w:r>
        <w:rPr>
          <w:rFonts w:ascii="Titillium" w:hAnsi="Titillium" w:cs="Arial"/>
          <w:sz w:val="18"/>
          <w:szCs w:val="18"/>
        </w:rPr>
        <w:t xml:space="preserve">per le </w:t>
      </w:r>
      <w:r>
        <w:rPr>
          <w:rFonts w:ascii="Titillium" w:hAnsi="Titillium" w:cs="Calibri"/>
          <w:sz w:val="18"/>
          <w:szCs w:val="18"/>
        </w:rPr>
        <w:t xml:space="preserve">società di capitali mediante bilanci, o estratti di essi, approvati alla data di scadenza del termine per la presentazione delle offerte corredati della nota integrativa; </w:t>
      </w:r>
    </w:p>
    <w:p w14:paraId="2782E13D" w14:textId="77777777" w:rsidR="00276DF7" w:rsidRDefault="00276DF7" w:rsidP="00276DF7">
      <w:pPr>
        <w:pStyle w:val="Paragrafoelenco"/>
        <w:numPr>
          <w:ilvl w:val="0"/>
          <w:numId w:val="10"/>
        </w:numPr>
        <w:shd w:val="clear" w:color="auto" w:fill="F2F2F2" w:themeFill="background1" w:themeFillShade="F2"/>
        <w:rPr>
          <w:rFonts w:ascii="Titillium" w:hAnsi="Titillium" w:cs="Calibri"/>
          <w:sz w:val="18"/>
          <w:szCs w:val="18"/>
        </w:rPr>
      </w:pPr>
      <w:r>
        <w:rPr>
          <w:rFonts w:ascii="Titillium" w:hAnsi="Titillium" w:cs="Calibri"/>
          <w:sz w:val="18"/>
          <w:szCs w:val="18"/>
        </w:rPr>
        <w:t>per gli operatori economici costituiti in forma d’impresa individuale ovvero di società di persone mediante copia del Modello Unico o la Dichiarazione IVA;</w:t>
      </w:r>
    </w:p>
    <w:p w14:paraId="63079F59" w14:textId="77777777" w:rsidR="00276DF7" w:rsidRPr="00AC6A6E" w:rsidRDefault="00276DF7" w:rsidP="00276DF7">
      <w:pPr>
        <w:pStyle w:val="Paragrafoelenco"/>
        <w:numPr>
          <w:ilvl w:val="0"/>
          <w:numId w:val="10"/>
        </w:numPr>
        <w:shd w:val="clear" w:color="auto" w:fill="F2F2F2" w:themeFill="background1" w:themeFillShade="F2"/>
        <w:spacing w:after="60"/>
        <w:ind w:left="419" w:hanging="357"/>
      </w:pPr>
      <w:r>
        <w:rPr>
          <w:rFonts w:ascii="Titillium" w:hAnsi="Titillium" w:cs="Calibri"/>
          <w:sz w:val="18"/>
          <w:szCs w:val="18"/>
        </w:rPr>
        <w:t>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del fatturato dichiarato in sede di partecipazione.</w:t>
      </w:r>
    </w:p>
    <w:p w14:paraId="36791065" w14:textId="77777777" w:rsidR="00276DF7" w:rsidRPr="006A2EDB" w:rsidRDefault="00276DF7" w:rsidP="00276DF7">
      <w:pPr>
        <w:pStyle w:val="Paragrafoelenco"/>
        <w:shd w:val="clear" w:color="auto" w:fill="F2F2F2" w:themeFill="background1" w:themeFillShade="F2"/>
        <w:spacing w:before="60" w:after="60"/>
        <w:ind w:left="284"/>
        <w:rPr>
          <w:rFonts w:ascii="Titillium" w:hAnsi="Titillium" w:cs="Arial"/>
          <w:b/>
          <w:i/>
          <w:sz w:val="18"/>
          <w:szCs w:val="18"/>
        </w:rPr>
      </w:pPr>
      <w:r w:rsidRPr="00607E91">
        <w:rPr>
          <w:rFonts w:ascii="Titillium" w:hAnsi="Titillium" w:cs="Arial"/>
          <w:sz w:val="18"/>
          <w:szCs w:val="18"/>
        </w:rPr>
        <w:lastRenderedPageBreak/>
        <w:t xml:space="preserve">Per le imprese che abbiano iniziato l’attività da meno di tre anni, il requisito di fatturato è rapportato al periodo di attività effettivamente svolto. </w:t>
      </w:r>
      <w:bookmarkStart w:id="1469" w:name="_Ref494466919"/>
      <w:bookmarkStart w:id="1470" w:name="_Ref497922592"/>
      <w:bookmarkEnd w:id="1469"/>
      <w:bookmarkEnd w:id="1470"/>
    </w:p>
    <w:p w14:paraId="5D76BE38" w14:textId="77777777" w:rsidR="00276DF7" w:rsidRPr="00387BEA" w:rsidRDefault="00276DF7" w:rsidP="00276DF7">
      <w:pPr>
        <w:pStyle w:val="Paragrafoelenco"/>
        <w:numPr>
          <w:ilvl w:val="0"/>
          <w:numId w:val="68"/>
        </w:numPr>
        <w:shd w:val="clear" w:color="auto" w:fill="F2F2F2" w:themeFill="background1" w:themeFillShade="F2"/>
        <w:spacing w:before="60" w:after="60"/>
        <w:ind w:left="284" w:hanging="284"/>
        <w:rPr>
          <w:rFonts w:ascii="Titillium" w:hAnsi="Titillium" w:cs="Arial"/>
          <w:b/>
          <w:i/>
          <w:sz w:val="18"/>
          <w:szCs w:val="18"/>
        </w:rPr>
      </w:pPr>
      <w:r w:rsidRPr="00607E91">
        <w:rPr>
          <w:rFonts w:ascii="Titillium" w:hAnsi="Titillium" w:cs="Arial"/>
          <w:b/>
          <w:i/>
          <w:sz w:val="18"/>
          <w:szCs w:val="18"/>
        </w:rPr>
        <w:t xml:space="preserve">[In caso di ulteriori requisiti economico finanziari previsti dalla normativa vigente] </w:t>
      </w:r>
      <w:r w:rsidRPr="00607E91">
        <w:rPr>
          <w:rFonts w:ascii="Titillium" w:hAnsi="Titillium" w:cs="Arial"/>
          <w:b/>
          <w:iCs/>
          <w:sz w:val="18"/>
          <w:szCs w:val="18"/>
        </w:rPr>
        <w:t>………</w:t>
      </w:r>
      <w:r w:rsidRPr="00607E91">
        <w:rPr>
          <w:rFonts w:ascii="Titillium" w:hAnsi="Titillium" w:cs="Arial"/>
          <w:bCs/>
          <w:i/>
          <w:sz w:val="18"/>
          <w:szCs w:val="18"/>
        </w:rPr>
        <w:t xml:space="preserve"> [indicare i requisiti previsti da leggi speciali</w:t>
      </w:r>
      <w:r w:rsidRPr="00387BEA">
        <w:rPr>
          <w:rFonts w:ascii="Titillium" w:hAnsi="Titillium" w:cs="Arial"/>
          <w:bCs/>
          <w:i/>
          <w:sz w:val="18"/>
          <w:szCs w:val="18"/>
        </w:rPr>
        <w:t>]</w:t>
      </w:r>
      <w:bookmarkStart w:id="1471" w:name="_Ref497922607"/>
      <w:bookmarkEnd w:id="1471"/>
    </w:p>
    <w:p w14:paraId="2F6C47C8" w14:textId="77777777" w:rsidR="00276DF7" w:rsidRPr="00E4634E" w:rsidRDefault="00276DF7" w:rsidP="00276DF7">
      <w:pPr>
        <w:pStyle w:val="Paragrafoelenco"/>
        <w:shd w:val="clear" w:color="auto" w:fill="F2F2F2" w:themeFill="background1" w:themeFillShade="F2"/>
        <w:spacing w:before="60" w:after="60"/>
        <w:ind w:left="0"/>
        <w:rPr>
          <w:rFonts w:ascii="Titillium" w:hAnsi="Titillium" w:cs="Arial"/>
          <w:sz w:val="18"/>
          <w:szCs w:val="18"/>
        </w:rPr>
      </w:pPr>
      <w:r w:rsidRPr="00387BEA">
        <w:rPr>
          <w:rFonts w:ascii="Titillium" w:hAnsi="Titillium" w:cs="Arial"/>
          <w:sz w:val="18"/>
          <w:szCs w:val="18"/>
        </w:rPr>
        <w:t xml:space="preserve">La comprova di tale requisito è fornita </w:t>
      </w:r>
      <w:r>
        <w:rPr>
          <w:rFonts w:ascii="Titillium" w:hAnsi="Titillium" w:cs="Arial"/>
          <w:sz w:val="18"/>
          <w:szCs w:val="18"/>
        </w:rPr>
        <w:t xml:space="preserve">mediante </w:t>
      </w:r>
      <w:r w:rsidRPr="00387BEA">
        <w:rPr>
          <w:rFonts w:ascii="Titillium" w:hAnsi="Titillium" w:cs="Arial"/>
          <w:sz w:val="18"/>
          <w:szCs w:val="18"/>
        </w:rPr>
        <w:t xml:space="preserve">…… </w:t>
      </w:r>
      <w:r w:rsidRPr="00387BEA">
        <w:rPr>
          <w:rFonts w:ascii="Titillium" w:hAnsi="Titillium" w:cs="Arial"/>
          <w:i/>
          <w:sz w:val="18"/>
          <w:szCs w:val="18"/>
        </w:rPr>
        <w:t xml:space="preserve">[indicare </w:t>
      </w:r>
      <w:r>
        <w:rPr>
          <w:rFonts w:ascii="Titillium" w:hAnsi="Titillium" w:cs="Arial"/>
          <w:i/>
          <w:sz w:val="18"/>
          <w:szCs w:val="18"/>
        </w:rPr>
        <w:t>i documenti a comprova</w:t>
      </w:r>
      <w:r w:rsidRPr="00387BEA">
        <w:rPr>
          <w:rFonts w:ascii="Titillium" w:hAnsi="Titillium" w:cs="Arial"/>
          <w:sz w:val="18"/>
          <w:szCs w:val="18"/>
        </w:rPr>
        <w:t>].</w:t>
      </w:r>
    </w:p>
    <w:p w14:paraId="680A8A89" w14:textId="77777777" w:rsidR="00276DF7" w:rsidRDefault="00276DF7" w:rsidP="00276DF7">
      <w:pPr>
        <w:pStyle w:val="Titolo3"/>
        <w:numPr>
          <w:ilvl w:val="1"/>
          <w:numId w:val="4"/>
        </w:numPr>
        <w:shd w:val="clear" w:color="auto" w:fill="F2F2F2" w:themeFill="background1" w:themeFillShade="F2"/>
        <w:ind w:left="426" w:hanging="426"/>
        <w:rPr>
          <w:rFonts w:ascii="Titillium" w:hAnsi="Titillium"/>
          <w:sz w:val="18"/>
          <w:szCs w:val="18"/>
          <w:lang w:val="it-IT"/>
        </w:rPr>
      </w:pPr>
      <w:bookmarkStart w:id="1472" w:name="_Ref495506173"/>
      <w:bookmarkStart w:id="1473" w:name="_Ref495482790"/>
      <w:bookmarkStart w:id="1474" w:name="_Ref495482769"/>
      <w:bookmarkStart w:id="1475" w:name="_Ref495411584"/>
      <w:bookmarkStart w:id="1476" w:name="_Ref496707577"/>
      <w:bookmarkStart w:id="1477" w:name="_Ref495920623"/>
      <w:bookmarkStart w:id="1478" w:name="_Toc139549426"/>
      <w:r>
        <w:rPr>
          <w:rFonts w:ascii="Titillium" w:hAnsi="Titillium"/>
          <w:caps w:val="0"/>
          <w:sz w:val="18"/>
          <w:szCs w:val="18"/>
          <w:lang w:val="it-IT"/>
        </w:rPr>
        <w:t>REQUISITI DI CAPACITÀ TECNICA E PROFESSIONALE</w:t>
      </w:r>
      <w:bookmarkEnd w:id="1472"/>
      <w:bookmarkEnd w:id="1473"/>
      <w:bookmarkEnd w:id="1474"/>
      <w:bookmarkEnd w:id="1475"/>
      <w:bookmarkEnd w:id="1476"/>
      <w:bookmarkEnd w:id="1477"/>
      <w:bookmarkEnd w:id="1478"/>
    </w:p>
    <w:p w14:paraId="7771A386" w14:textId="77777777" w:rsidR="00276DF7" w:rsidRPr="006B77B9" w:rsidRDefault="00276DF7" w:rsidP="00276DF7">
      <w:pPr>
        <w:pStyle w:val="Paragrafoelenco"/>
        <w:numPr>
          <w:ilvl w:val="0"/>
          <w:numId w:val="69"/>
        </w:numPr>
        <w:shd w:val="clear" w:color="auto" w:fill="F2F2F2" w:themeFill="background1" w:themeFillShade="F2"/>
        <w:spacing w:before="60" w:after="60"/>
        <w:ind w:left="284" w:hanging="284"/>
      </w:pPr>
      <w:bookmarkStart w:id="1479" w:name="_Ref497922628"/>
      <w:r w:rsidRPr="001B44C8">
        <w:rPr>
          <w:rFonts w:ascii="Titillium" w:hAnsi="Titillium" w:cs="Arial"/>
          <w:b/>
          <w:i/>
          <w:sz w:val="18"/>
          <w:szCs w:val="18"/>
        </w:rPr>
        <w:t>[Facoltativo]</w:t>
      </w:r>
      <w:r w:rsidRPr="001B44C8">
        <w:rPr>
          <w:rFonts w:ascii="Titillium" w:hAnsi="Titillium" w:cs="Calibri"/>
          <w:b/>
          <w:i/>
          <w:sz w:val="18"/>
          <w:szCs w:val="18"/>
        </w:rPr>
        <w:t xml:space="preserve"> </w:t>
      </w:r>
      <w:r w:rsidRPr="001B44C8">
        <w:rPr>
          <w:rFonts w:ascii="Titillium" w:hAnsi="Titillium" w:cs="Arial"/>
          <w:b/>
          <w:iCs/>
          <w:sz w:val="18"/>
          <w:szCs w:val="18"/>
        </w:rPr>
        <w:t xml:space="preserve">Esecuzione negli ultimi tre anni di almeno n. …. </w:t>
      </w:r>
      <w:r w:rsidRPr="001B44C8">
        <w:rPr>
          <w:rFonts w:ascii="Titillium" w:hAnsi="Titillium" w:cs="Calibri"/>
          <w:b/>
          <w:sz w:val="18"/>
          <w:szCs w:val="18"/>
        </w:rPr>
        <w:t>servizi analoghi</w:t>
      </w:r>
      <w:r w:rsidRPr="001B44C8">
        <w:rPr>
          <w:rFonts w:ascii="Titillium" w:hAnsi="Titillium" w:cs="Calibri"/>
          <w:b/>
          <w:i/>
          <w:iCs/>
          <w:sz w:val="18"/>
          <w:szCs w:val="18"/>
        </w:rPr>
        <w:t xml:space="preserve"> [o forniture analoghe]</w:t>
      </w:r>
      <w:r w:rsidRPr="001B44C8">
        <w:rPr>
          <w:rFonts w:ascii="Titillium" w:hAnsi="Titillium" w:cs="Calibri"/>
          <w:sz w:val="18"/>
          <w:szCs w:val="18"/>
        </w:rPr>
        <w:t xml:space="preserve"> a … </w:t>
      </w:r>
      <w:r w:rsidRPr="001B44C8">
        <w:rPr>
          <w:rFonts w:ascii="Titillium" w:hAnsi="Titillium" w:cs="Calibri"/>
          <w:i/>
          <w:sz w:val="18"/>
          <w:szCs w:val="18"/>
        </w:rPr>
        <w:t>[indicare il tipo di</w:t>
      </w:r>
      <w:r>
        <w:rPr>
          <w:rFonts w:ascii="Titillium" w:hAnsi="Titillium" w:cs="Calibri"/>
          <w:i/>
          <w:sz w:val="18"/>
          <w:szCs w:val="18"/>
        </w:rPr>
        <w:t xml:space="preserve"> servizio/fornitura analogo che si richiede]</w:t>
      </w:r>
      <w:r>
        <w:rPr>
          <w:rFonts w:ascii="Titillium" w:hAnsi="Titillium" w:cs="Calibri"/>
          <w:sz w:val="18"/>
          <w:szCs w:val="18"/>
        </w:rPr>
        <w:t xml:space="preserve"> di importo minimo pari a € …</w:t>
      </w:r>
      <w:r w:rsidRPr="009166D1">
        <w:rPr>
          <w:rFonts w:ascii="Titillium" w:hAnsi="Titillium" w:cs="Calibri"/>
          <w:sz w:val="18"/>
          <w:szCs w:val="18"/>
        </w:rPr>
        <w:t>:</w:t>
      </w:r>
      <w:r>
        <w:rPr>
          <w:rFonts w:ascii="Titillium" w:hAnsi="Titillium" w:cs="Calibri"/>
          <w:sz w:val="18"/>
          <w:szCs w:val="18"/>
        </w:rPr>
        <w:t xml:space="preserve"> </w:t>
      </w:r>
      <w:r>
        <w:rPr>
          <w:rFonts w:ascii="Titillium" w:hAnsi="Titillium" w:cs="Calibri"/>
          <w:i/>
          <w:sz w:val="18"/>
          <w:szCs w:val="18"/>
        </w:rPr>
        <w:t>[se richiesto un elenco di servizi/forniture in prestazioni diverse ripetere la dicitura per ogni prestazione].</w:t>
      </w:r>
    </w:p>
    <w:bookmarkEnd w:id="1479"/>
    <w:p w14:paraId="5D9B5240" w14:textId="77777777" w:rsidR="00276DF7" w:rsidRDefault="00276DF7" w:rsidP="00276DF7">
      <w:pPr>
        <w:shd w:val="clear" w:color="auto" w:fill="F2F2F2" w:themeFill="background1" w:themeFillShade="F2"/>
        <w:spacing w:before="60" w:after="60"/>
      </w:pPr>
      <w:r w:rsidRPr="008F7418">
        <w:rPr>
          <w:rFonts w:ascii="Titillium" w:hAnsi="Titillium" w:cs="Arial"/>
          <w:sz w:val="18"/>
          <w:szCs w:val="18"/>
        </w:rPr>
        <w:t>La comprova del requisito è</w:t>
      </w:r>
      <w:r>
        <w:rPr>
          <w:rFonts w:ascii="Titillium" w:hAnsi="Titillium" w:cs="Arial"/>
          <w:sz w:val="18"/>
          <w:szCs w:val="18"/>
        </w:rPr>
        <w:t xml:space="preserve"> fornita mediante uno o più dei seguenti documenti:</w:t>
      </w:r>
    </w:p>
    <w:p w14:paraId="2AAF43C8" w14:textId="77777777" w:rsidR="00276DF7" w:rsidRPr="005D7A3A" w:rsidRDefault="00276DF7" w:rsidP="00276DF7">
      <w:pPr>
        <w:pStyle w:val="Paragrafoelenco"/>
        <w:numPr>
          <w:ilvl w:val="0"/>
          <w:numId w:val="63"/>
        </w:numPr>
        <w:shd w:val="clear" w:color="auto" w:fill="F2F2F2" w:themeFill="background1" w:themeFillShade="F2"/>
        <w:tabs>
          <w:tab w:val="left" w:pos="426"/>
        </w:tabs>
        <w:suppressAutoHyphens/>
        <w:spacing w:before="60" w:after="60"/>
        <w:ind w:left="426"/>
        <w:textAlignment w:val="baseline"/>
        <w:rPr>
          <w:rFonts w:ascii="Titillium" w:hAnsi="Titillium" w:cs="Arial"/>
          <w:sz w:val="18"/>
          <w:szCs w:val="18"/>
        </w:rPr>
      </w:pPr>
      <w:r w:rsidRPr="005D7A3A">
        <w:rPr>
          <w:rFonts w:ascii="Titillium" w:hAnsi="Titillium" w:cs="Arial"/>
          <w:sz w:val="18"/>
          <w:szCs w:val="18"/>
        </w:rPr>
        <w:t>certificati rilasciati dall’amministrazione/ente contraente, con l’indicazione dell’oggetto, dell’importo e del periodo di esecuzione;</w:t>
      </w:r>
    </w:p>
    <w:p w14:paraId="20C82407" w14:textId="77777777" w:rsidR="00276DF7" w:rsidRPr="005D7A3A" w:rsidRDefault="00276DF7" w:rsidP="00276DF7">
      <w:pPr>
        <w:pStyle w:val="Paragrafoelenco"/>
        <w:numPr>
          <w:ilvl w:val="0"/>
          <w:numId w:val="63"/>
        </w:numPr>
        <w:shd w:val="clear" w:color="auto" w:fill="F2F2F2" w:themeFill="background1" w:themeFillShade="F2"/>
        <w:tabs>
          <w:tab w:val="left" w:pos="426"/>
        </w:tabs>
        <w:suppressAutoHyphens/>
        <w:spacing w:before="60" w:after="60"/>
        <w:ind w:left="426"/>
        <w:textAlignment w:val="baseline"/>
        <w:rPr>
          <w:rFonts w:ascii="Titillium" w:hAnsi="Titillium" w:cs="Arial"/>
          <w:sz w:val="18"/>
          <w:szCs w:val="18"/>
        </w:rPr>
      </w:pPr>
      <w:r w:rsidRPr="005D7A3A">
        <w:rPr>
          <w:rFonts w:ascii="Titillium" w:hAnsi="Titillium" w:cs="Arial"/>
          <w:sz w:val="18"/>
          <w:szCs w:val="18"/>
        </w:rPr>
        <w:t>contratti stipulati con le amministrazioni pubbliche, completi di copia delle fatture quietanzate ovvero dei documenti bancari attestanti il pagamento delle stesse;</w:t>
      </w:r>
    </w:p>
    <w:p w14:paraId="391AE840" w14:textId="77777777" w:rsidR="00276DF7" w:rsidRPr="005D7A3A" w:rsidRDefault="00276DF7" w:rsidP="00276DF7">
      <w:pPr>
        <w:pStyle w:val="Paragrafoelenco"/>
        <w:numPr>
          <w:ilvl w:val="0"/>
          <w:numId w:val="63"/>
        </w:numPr>
        <w:shd w:val="clear" w:color="auto" w:fill="F2F2F2" w:themeFill="background1" w:themeFillShade="F2"/>
        <w:tabs>
          <w:tab w:val="left" w:pos="426"/>
        </w:tabs>
        <w:suppressAutoHyphens/>
        <w:spacing w:before="60" w:after="60"/>
        <w:ind w:left="426"/>
        <w:textAlignment w:val="baseline"/>
        <w:rPr>
          <w:rFonts w:ascii="Titillium" w:hAnsi="Titillium" w:cs="Arial"/>
          <w:sz w:val="18"/>
          <w:szCs w:val="18"/>
        </w:rPr>
      </w:pPr>
      <w:r w:rsidRPr="005D7A3A">
        <w:rPr>
          <w:rFonts w:ascii="Titillium" w:hAnsi="Titillium" w:cs="Arial"/>
          <w:sz w:val="18"/>
          <w:szCs w:val="18"/>
        </w:rPr>
        <w:t>attestazioni rilasciate dal committente privato, con l’indicazione dell’oggetto, dell’importo e del periodo di esecuzione;</w:t>
      </w:r>
    </w:p>
    <w:p w14:paraId="584CB292" w14:textId="77777777" w:rsidR="00276DF7" w:rsidRPr="005D7A3A" w:rsidRDefault="00276DF7" w:rsidP="00276DF7">
      <w:pPr>
        <w:pStyle w:val="Paragrafoelenco"/>
        <w:numPr>
          <w:ilvl w:val="0"/>
          <w:numId w:val="63"/>
        </w:numPr>
        <w:shd w:val="clear" w:color="auto" w:fill="F2F2F2" w:themeFill="background1" w:themeFillShade="F2"/>
        <w:tabs>
          <w:tab w:val="left" w:pos="426"/>
        </w:tabs>
        <w:suppressAutoHyphens/>
        <w:spacing w:before="60" w:after="60"/>
        <w:ind w:left="426"/>
        <w:textAlignment w:val="baseline"/>
        <w:rPr>
          <w:rFonts w:ascii="Titillium" w:hAnsi="Titillium" w:cs="Arial"/>
          <w:sz w:val="18"/>
          <w:szCs w:val="18"/>
        </w:rPr>
      </w:pPr>
      <w:r w:rsidRPr="005D7A3A">
        <w:rPr>
          <w:rFonts w:ascii="Titillium" w:hAnsi="Titillium" w:cs="Arial"/>
          <w:sz w:val="18"/>
          <w:szCs w:val="18"/>
        </w:rPr>
        <w:t>contratti stipulati con privati, completi di copia delle fatture quietanzate ovvero dei documenti bancari attestanti il pagamento delle stesse.</w:t>
      </w:r>
    </w:p>
    <w:p w14:paraId="116B6448" w14:textId="77777777" w:rsidR="00276DF7" w:rsidRDefault="00276DF7" w:rsidP="00276DF7">
      <w:pPr>
        <w:pStyle w:val="Paragrafoelenco"/>
        <w:shd w:val="clear" w:color="auto" w:fill="F2F2F2" w:themeFill="background1" w:themeFillShade="F2"/>
        <w:spacing w:before="60" w:after="60"/>
        <w:ind w:left="284"/>
        <w:rPr>
          <w:rFonts w:ascii="Titillium" w:hAnsi="Titillium" w:cs="Arial"/>
          <w:b/>
          <w:sz w:val="18"/>
          <w:szCs w:val="18"/>
        </w:rPr>
      </w:pPr>
    </w:p>
    <w:p w14:paraId="5FF2DE71" w14:textId="77777777" w:rsidR="00276DF7" w:rsidRPr="00387BEA" w:rsidRDefault="00276DF7" w:rsidP="00276DF7">
      <w:pPr>
        <w:pStyle w:val="Paragrafoelenco"/>
        <w:numPr>
          <w:ilvl w:val="0"/>
          <w:numId w:val="69"/>
        </w:numPr>
        <w:shd w:val="clear" w:color="auto" w:fill="F2F2F2" w:themeFill="background1" w:themeFillShade="F2"/>
        <w:spacing w:before="60" w:after="60"/>
        <w:ind w:left="284" w:hanging="284"/>
        <w:rPr>
          <w:rFonts w:ascii="Titillium" w:hAnsi="Titillium" w:cs="Arial"/>
          <w:b/>
          <w:i/>
          <w:sz w:val="18"/>
          <w:szCs w:val="18"/>
        </w:rPr>
      </w:pPr>
      <w:r w:rsidRPr="00387BEA">
        <w:rPr>
          <w:rFonts w:ascii="Titillium" w:hAnsi="Titillium" w:cs="Arial"/>
          <w:b/>
          <w:i/>
          <w:sz w:val="18"/>
          <w:szCs w:val="18"/>
        </w:rPr>
        <w:t xml:space="preserve">[In caso di ulteriori requisiti </w:t>
      </w:r>
      <w:r>
        <w:rPr>
          <w:rFonts w:ascii="Titillium" w:hAnsi="Titillium" w:cs="Arial"/>
          <w:b/>
          <w:i/>
          <w:sz w:val="18"/>
          <w:szCs w:val="18"/>
        </w:rPr>
        <w:t xml:space="preserve">tecnico-professionali </w:t>
      </w:r>
      <w:r w:rsidRPr="00387BEA">
        <w:rPr>
          <w:rFonts w:ascii="Titillium" w:hAnsi="Titillium" w:cs="Arial"/>
          <w:b/>
          <w:i/>
          <w:sz w:val="18"/>
          <w:szCs w:val="18"/>
        </w:rPr>
        <w:t xml:space="preserve">previsti dalla normativa vigente] </w:t>
      </w:r>
      <w:r w:rsidRPr="00387BEA">
        <w:rPr>
          <w:rFonts w:ascii="Titillium" w:hAnsi="Titillium" w:cs="Arial"/>
          <w:bCs/>
          <w:iCs/>
          <w:sz w:val="18"/>
          <w:szCs w:val="18"/>
        </w:rPr>
        <w:t>………</w:t>
      </w:r>
      <w:r w:rsidRPr="00387BEA">
        <w:rPr>
          <w:rFonts w:ascii="Titillium" w:hAnsi="Titillium" w:cs="Arial"/>
          <w:bCs/>
          <w:i/>
          <w:sz w:val="18"/>
          <w:szCs w:val="18"/>
        </w:rPr>
        <w:t xml:space="preserve"> [indicare eventuali requisiti previsti da leggi speciali]</w:t>
      </w:r>
    </w:p>
    <w:p w14:paraId="034C8F6A" w14:textId="77777777" w:rsidR="00276DF7" w:rsidRPr="00E4634E" w:rsidRDefault="00276DF7" w:rsidP="00276DF7">
      <w:pPr>
        <w:pStyle w:val="Paragrafoelenco"/>
        <w:shd w:val="clear" w:color="auto" w:fill="F2F2F2" w:themeFill="background1" w:themeFillShade="F2"/>
        <w:spacing w:before="60" w:after="60"/>
        <w:ind w:left="0"/>
        <w:rPr>
          <w:rFonts w:ascii="Titillium" w:hAnsi="Titillium" w:cs="Arial"/>
          <w:sz w:val="18"/>
          <w:szCs w:val="18"/>
        </w:rPr>
      </w:pPr>
      <w:r w:rsidRPr="00387BEA">
        <w:rPr>
          <w:rFonts w:ascii="Titillium" w:hAnsi="Titillium" w:cs="Arial"/>
          <w:sz w:val="18"/>
          <w:szCs w:val="18"/>
        </w:rPr>
        <w:t xml:space="preserve">La comprova di tale requisito è fornita </w:t>
      </w:r>
      <w:r>
        <w:rPr>
          <w:rFonts w:ascii="Titillium" w:hAnsi="Titillium" w:cs="Arial"/>
          <w:sz w:val="18"/>
          <w:szCs w:val="18"/>
        </w:rPr>
        <w:t xml:space="preserve">mediante </w:t>
      </w:r>
      <w:r w:rsidRPr="00387BEA">
        <w:rPr>
          <w:rFonts w:ascii="Titillium" w:hAnsi="Titillium" w:cs="Arial"/>
          <w:sz w:val="18"/>
          <w:szCs w:val="18"/>
        </w:rPr>
        <w:t xml:space="preserve">…… </w:t>
      </w:r>
      <w:r w:rsidRPr="00387BEA">
        <w:rPr>
          <w:rFonts w:ascii="Titillium" w:hAnsi="Titillium" w:cs="Arial"/>
          <w:i/>
          <w:sz w:val="18"/>
          <w:szCs w:val="18"/>
        </w:rPr>
        <w:t>[indicare l</w:t>
      </w:r>
      <w:r>
        <w:rPr>
          <w:rFonts w:ascii="Titillium" w:hAnsi="Titillium" w:cs="Arial"/>
          <w:i/>
          <w:sz w:val="18"/>
          <w:szCs w:val="18"/>
        </w:rPr>
        <w:t>i documenti a comprova</w:t>
      </w:r>
      <w:r w:rsidRPr="00387BEA">
        <w:rPr>
          <w:rFonts w:ascii="Titillium" w:hAnsi="Titillium" w:cs="Arial"/>
          <w:sz w:val="18"/>
          <w:szCs w:val="18"/>
        </w:rPr>
        <w:t>].</w:t>
      </w:r>
    </w:p>
    <w:p w14:paraId="2B267A60" w14:textId="77777777" w:rsidR="00276DF7" w:rsidRPr="001051E3" w:rsidRDefault="00276DF7" w:rsidP="00276DF7">
      <w:pPr>
        <w:pStyle w:val="Titolo3"/>
        <w:numPr>
          <w:ilvl w:val="1"/>
          <w:numId w:val="4"/>
        </w:numPr>
        <w:shd w:val="clear" w:color="auto" w:fill="F2F2F2" w:themeFill="background1" w:themeFillShade="F2"/>
        <w:ind w:left="426" w:hanging="426"/>
        <w:rPr>
          <w:rFonts w:ascii="Titillium" w:hAnsi="Titillium"/>
          <w:caps w:val="0"/>
          <w:sz w:val="18"/>
          <w:szCs w:val="18"/>
          <w:lang w:val="it-IT"/>
        </w:rPr>
      </w:pPr>
      <w:bookmarkStart w:id="1480" w:name="_Toc497728149"/>
      <w:bookmarkStart w:id="1481" w:name="_Toc497484951"/>
      <w:bookmarkStart w:id="1482" w:name="_Toc485218285"/>
      <w:bookmarkStart w:id="1483" w:name="_Toc484688849"/>
      <w:bookmarkStart w:id="1484" w:name="_Toc484688294"/>
      <w:bookmarkStart w:id="1485" w:name="_Toc484605425"/>
      <w:bookmarkStart w:id="1486" w:name="_Toc484605301"/>
      <w:bookmarkStart w:id="1487" w:name="_Toc484526581"/>
      <w:bookmarkStart w:id="1488" w:name="_Toc484449086"/>
      <w:bookmarkStart w:id="1489" w:name="_Toc484448962"/>
      <w:bookmarkStart w:id="1490" w:name="_Toc484448838"/>
      <w:bookmarkStart w:id="1491" w:name="_Toc484448715"/>
      <w:bookmarkStart w:id="1492" w:name="_Toc484448591"/>
      <w:bookmarkStart w:id="1493" w:name="_Toc484448467"/>
      <w:bookmarkStart w:id="1494" w:name="_Toc484448343"/>
      <w:bookmarkStart w:id="1495" w:name="_Toc484448219"/>
      <w:bookmarkStart w:id="1496" w:name="_Toc484448094"/>
      <w:bookmarkStart w:id="1497" w:name="_Toc484440435"/>
      <w:bookmarkStart w:id="1498" w:name="_Toc484440075"/>
      <w:bookmarkStart w:id="1499" w:name="_Toc484439951"/>
      <w:bookmarkStart w:id="1500" w:name="_Toc484439828"/>
      <w:bookmarkStart w:id="1501" w:name="_Toc484438908"/>
      <w:bookmarkStart w:id="1502" w:name="_Toc484438784"/>
      <w:bookmarkStart w:id="1503" w:name="_Toc484438660"/>
      <w:bookmarkStart w:id="1504" w:name="_Toc484429085"/>
      <w:bookmarkStart w:id="1505" w:name="_Toc484428915"/>
      <w:bookmarkStart w:id="1506" w:name="_Toc484097743"/>
      <w:bookmarkStart w:id="1507" w:name="_Toc484011669"/>
      <w:bookmarkStart w:id="1508" w:name="_Toc484011194"/>
      <w:bookmarkStart w:id="1509" w:name="_Toc484011072"/>
      <w:bookmarkStart w:id="1510" w:name="_Toc484010950"/>
      <w:bookmarkStart w:id="1511" w:name="_Toc484010826"/>
      <w:bookmarkStart w:id="1512" w:name="_Toc484010704"/>
      <w:bookmarkStart w:id="1513" w:name="_Toc483906954"/>
      <w:bookmarkStart w:id="1514" w:name="_Toc483571577"/>
      <w:bookmarkStart w:id="1515" w:name="_Toc483571456"/>
      <w:bookmarkStart w:id="1516" w:name="_Toc483474027"/>
      <w:bookmarkStart w:id="1517" w:name="_Toc483401230"/>
      <w:bookmarkStart w:id="1518" w:name="_Toc483325751"/>
      <w:bookmarkStart w:id="1519" w:name="_Toc483316448"/>
      <w:bookmarkStart w:id="1520" w:name="_Toc483316317"/>
      <w:bookmarkStart w:id="1521" w:name="_Toc483316114"/>
      <w:bookmarkStart w:id="1522" w:name="_Toc483315909"/>
      <w:bookmarkStart w:id="1523" w:name="_Toc483302359"/>
      <w:bookmarkStart w:id="1524" w:name="_Toc485218284"/>
      <w:bookmarkStart w:id="1525" w:name="_Toc484688848"/>
      <w:bookmarkStart w:id="1526" w:name="_Toc484688293"/>
      <w:bookmarkStart w:id="1527" w:name="_Toc484605424"/>
      <w:bookmarkStart w:id="1528" w:name="_Toc484605300"/>
      <w:bookmarkStart w:id="1529" w:name="_Toc484526580"/>
      <w:bookmarkStart w:id="1530" w:name="_Toc484449085"/>
      <w:bookmarkStart w:id="1531" w:name="_Toc484448961"/>
      <w:bookmarkStart w:id="1532" w:name="_Toc484448837"/>
      <w:bookmarkStart w:id="1533" w:name="_Toc484448714"/>
      <w:bookmarkStart w:id="1534" w:name="_Toc484448590"/>
      <w:bookmarkStart w:id="1535" w:name="_Toc484448466"/>
      <w:bookmarkStart w:id="1536" w:name="_Toc484448342"/>
      <w:bookmarkStart w:id="1537" w:name="_Toc484448218"/>
      <w:bookmarkStart w:id="1538" w:name="_Toc484448093"/>
      <w:bookmarkStart w:id="1539" w:name="_Toc484440434"/>
      <w:bookmarkStart w:id="1540" w:name="_Toc484440074"/>
      <w:bookmarkStart w:id="1541" w:name="_Toc484439950"/>
      <w:bookmarkStart w:id="1542" w:name="_Toc484439827"/>
      <w:bookmarkStart w:id="1543" w:name="_Toc484438907"/>
      <w:bookmarkStart w:id="1544" w:name="_Toc484438783"/>
      <w:bookmarkStart w:id="1545" w:name="_Toc484438659"/>
      <w:bookmarkStart w:id="1546" w:name="_Toc484429084"/>
      <w:bookmarkStart w:id="1547" w:name="_Toc484428914"/>
      <w:bookmarkStart w:id="1548" w:name="_Toc484097742"/>
      <w:bookmarkStart w:id="1549" w:name="_Toc484011668"/>
      <w:bookmarkStart w:id="1550" w:name="_Toc484011193"/>
      <w:bookmarkStart w:id="1551" w:name="_Toc484011071"/>
      <w:bookmarkStart w:id="1552" w:name="_Toc484010949"/>
      <w:bookmarkStart w:id="1553" w:name="_Toc484010825"/>
      <w:bookmarkStart w:id="1554" w:name="_Toc484010703"/>
      <w:bookmarkStart w:id="1555" w:name="_Toc483906953"/>
      <w:bookmarkStart w:id="1556" w:name="_Toc483571576"/>
      <w:bookmarkStart w:id="1557" w:name="_Toc483571455"/>
      <w:bookmarkStart w:id="1558" w:name="_Toc483474026"/>
      <w:bookmarkStart w:id="1559" w:name="_Toc483401229"/>
      <w:bookmarkStart w:id="1560" w:name="_Toc483325750"/>
      <w:bookmarkStart w:id="1561" w:name="_Toc483316447"/>
      <w:bookmarkStart w:id="1562" w:name="_Toc483316316"/>
      <w:bookmarkStart w:id="1563" w:name="_Toc483316113"/>
      <w:bookmarkStart w:id="1564" w:name="_Toc483315908"/>
      <w:bookmarkStart w:id="1565" w:name="_Toc483302358"/>
      <w:bookmarkStart w:id="1566" w:name="_Toc485218283"/>
      <w:bookmarkStart w:id="1567" w:name="_Toc484688847"/>
      <w:bookmarkStart w:id="1568" w:name="_Toc484688292"/>
      <w:bookmarkStart w:id="1569" w:name="_Toc484605423"/>
      <w:bookmarkStart w:id="1570" w:name="_Toc484605299"/>
      <w:bookmarkStart w:id="1571" w:name="_Toc484526579"/>
      <w:bookmarkStart w:id="1572" w:name="_Toc484449084"/>
      <w:bookmarkStart w:id="1573" w:name="_Toc484448960"/>
      <w:bookmarkStart w:id="1574" w:name="_Toc484448836"/>
      <w:bookmarkStart w:id="1575" w:name="_Toc484448713"/>
      <w:bookmarkStart w:id="1576" w:name="_Toc484448589"/>
      <w:bookmarkStart w:id="1577" w:name="_Toc484448465"/>
      <w:bookmarkStart w:id="1578" w:name="_Toc484448341"/>
      <w:bookmarkStart w:id="1579" w:name="_Toc484448217"/>
      <w:bookmarkStart w:id="1580" w:name="_Toc484448092"/>
      <w:bookmarkStart w:id="1581" w:name="_Toc484440433"/>
      <w:bookmarkStart w:id="1582" w:name="_Toc484440073"/>
      <w:bookmarkStart w:id="1583" w:name="_Toc484439949"/>
      <w:bookmarkStart w:id="1584" w:name="_Toc484439826"/>
      <w:bookmarkStart w:id="1585" w:name="_Toc484438906"/>
      <w:bookmarkStart w:id="1586" w:name="_Toc484438782"/>
      <w:bookmarkStart w:id="1587" w:name="_Toc484438658"/>
      <w:bookmarkStart w:id="1588" w:name="_Toc484429083"/>
      <w:bookmarkStart w:id="1589" w:name="_Toc484428913"/>
      <w:bookmarkStart w:id="1590" w:name="_Toc484097741"/>
      <w:bookmarkStart w:id="1591" w:name="_Toc484011667"/>
      <w:bookmarkStart w:id="1592" w:name="_Toc484011192"/>
      <w:bookmarkStart w:id="1593" w:name="_Toc484011070"/>
      <w:bookmarkStart w:id="1594" w:name="_Toc484010948"/>
      <w:bookmarkStart w:id="1595" w:name="_Toc484010824"/>
      <w:bookmarkStart w:id="1596" w:name="_Toc484010702"/>
      <w:bookmarkStart w:id="1597" w:name="_Toc483906952"/>
      <w:bookmarkStart w:id="1598" w:name="_Toc483571575"/>
      <w:bookmarkStart w:id="1599" w:name="_Toc483571454"/>
      <w:bookmarkStart w:id="1600" w:name="_Toc483474025"/>
      <w:bookmarkStart w:id="1601" w:name="_Toc483401228"/>
      <w:bookmarkStart w:id="1602" w:name="_Toc483325749"/>
      <w:bookmarkStart w:id="1603" w:name="_Toc483316446"/>
      <w:bookmarkStart w:id="1604" w:name="_Toc483316315"/>
      <w:bookmarkStart w:id="1605" w:name="_Toc483316112"/>
      <w:bookmarkStart w:id="1606" w:name="_Toc483315907"/>
      <w:bookmarkStart w:id="1607" w:name="_Toc483302357"/>
      <w:bookmarkStart w:id="1608" w:name="_Toc485218282"/>
      <w:bookmarkStart w:id="1609" w:name="_Toc484688846"/>
      <w:bookmarkStart w:id="1610" w:name="_Toc484688291"/>
      <w:bookmarkStart w:id="1611" w:name="_Toc484605422"/>
      <w:bookmarkStart w:id="1612" w:name="_Toc484605298"/>
      <w:bookmarkStart w:id="1613" w:name="_Toc484526578"/>
      <w:bookmarkStart w:id="1614" w:name="_Toc484449083"/>
      <w:bookmarkStart w:id="1615" w:name="_Toc484448959"/>
      <w:bookmarkStart w:id="1616" w:name="_Toc484448835"/>
      <w:bookmarkStart w:id="1617" w:name="_Toc484448712"/>
      <w:bookmarkStart w:id="1618" w:name="_Toc484448588"/>
      <w:bookmarkStart w:id="1619" w:name="_Toc484448464"/>
      <w:bookmarkStart w:id="1620" w:name="_Toc484448340"/>
      <w:bookmarkStart w:id="1621" w:name="_Toc484448216"/>
      <w:bookmarkStart w:id="1622" w:name="_Toc484448091"/>
      <w:bookmarkStart w:id="1623" w:name="_Toc484440432"/>
      <w:bookmarkStart w:id="1624" w:name="_Toc484440072"/>
      <w:bookmarkStart w:id="1625" w:name="_Toc484439948"/>
      <w:bookmarkStart w:id="1626" w:name="_Toc484439825"/>
      <w:bookmarkStart w:id="1627" w:name="_Toc484438905"/>
      <w:bookmarkStart w:id="1628" w:name="_Toc484438781"/>
      <w:bookmarkStart w:id="1629" w:name="_Toc484438657"/>
      <w:bookmarkStart w:id="1630" w:name="_Toc484429082"/>
      <w:bookmarkStart w:id="1631" w:name="_Toc484428912"/>
      <w:bookmarkStart w:id="1632" w:name="_Toc484097740"/>
      <w:bookmarkStart w:id="1633" w:name="_Toc484011666"/>
      <w:bookmarkStart w:id="1634" w:name="_Toc484011191"/>
      <w:bookmarkStart w:id="1635" w:name="_Toc484011069"/>
      <w:bookmarkStart w:id="1636" w:name="_Toc484010947"/>
      <w:bookmarkStart w:id="1637" w:name="_Toc484010823"/>
      <w:bookmarkStart w:id="1638" w:name="_Toc484010701"/>
      <w:bookmarkStart w:id="1639" w:name="_Toc483906951"/>
      <w:bookmarkStart w:id="1640" w:name="_Toc483571574"/>
      <w:bookmarkStart w:id="1641" w:name="_Toc483571453"/>
      <w:bookmarkStart w:id="1642" w:name="_Toc483474024"/>
      <w:bookmarkStart w:id="1643" w:name="_Toc483401227"/>
      <w:bookmarkStart w:id="1644" w:name="_Toc483325748"/>
      <w:bookmarkStart w:id="1645" w:name="_Toc483316445"/>
      <w:bookmarkStart w:id="1646" w:name="_Toc483316314"/>
      <w:bookmarkStart w:id="1647" w:name="_Toc483316111"/>
      <w:bookmarkStart w:id="1648" w:name="_Toc483315906"/>
      <w:bookmarkStart w:id="1649" w:name="_Toc483302356"/>
      <w:bookmarkStart w:id="1650" w:name="_Toc485218281"/>
      <w:bookmarkStart w:id="1651" w:name="_Toc484688845"/>
      <w:bookmarkStart w:id="1652" w:name="_Toc484688290"/>
      <w:bookmarkStart w:id="1653" w:name="_Toc484605421"/>
      <w:bookmarkStart w:id="1654" w:name="_Toc484605297"/>
      <w:bookmarkStart w:id="1655" w:name="_Toc484526577"/>
      <w:bookmarkStart w:id="1656" w:name="_Toc484449082"/>
      <w:bookmarkStart w:id="1657" w:name="_Toc484448958"/>
      <w:bookmarkStart w:id="1658" w:name="_Toc484448834"/>
      <w:bookmarkStart w:id="1659" w:name="_Toc484448711"/>
      <w:bookmarkStart w:id="1660" w:name="_Toc484448587"/>
      <w:bookmarkStart w:id="1661" w:name="_Toc484448463"/>
      <w:bookmarkStart w:id="1662" w:name="_Toc484448339"/>
      <w:bookmarkStart w:id="1663" w:name="_Toc484448215"/>
      <w:bookmarkStart w:id="1664" w:name="_Toc484448090"/>
      <w:bookmarkStart w:id="1665" w:name="_Toc484440431"/>
      <w:bookmarkStart w:id="1666" w:name="_Toc484440071"/>
      <w:bookmarkStart w:id="1667" w:name="_Toc484439947"/>
      <w:bookmarkStart w:id="1668" w:name="_Toc484439824"/>
      <w:bookmarkStart w:id="1669" w:name="_Toc484438904"/>
      <w:bookmarkStart w:id="1670" w:name="_Toc484438780"/>
      <w:bookmarkStart w:id="1671" w:name="_Toc484438656"/>
      <w:bookmarkStart w:id="1672" w:name="_Toc484429081"/>
      <w:bookmarkStart w:id="1673" w:name="_Toc484428911"/>
      <w:bookmarkStart w:id="1674" w:name="_Toc484097739"/>
      <w:bookmarkStart w:id="1675" w:name="_Toc484011665"/>
      <w:bookmarkStart w:id="1676" w:name="_Toc484011190"/>
      <w:bookmarkStart w:id="1677" w:name="_Toc484011068"/>
      <w:bookmarkStart w:id="1678" w:name="_Toc484010946"/>
      <w:bookmarkStart w:id="1679" w:name="_Toc484010822"/>
      <w:bookmarkStart w:id="1680" w:name="_Toc484010700"/>
      <w:bookmarkStart w:id="1681" w:name="_Toc483906950"/>
      <w:bookmarkStart w:id="1682" w:name="_Toc483571573"/>
      <w:bookmarkStart w:id="1683" w:name="_Toc483571452"/>
      <w:bookmarkStart w:id="1684" w:name="_Toc483474023"/>
      <w:bookmarkStart w:id="1685" w:name="_Toc483401226"/>
      <w:bookmarkStart w:id="1686" w:name="_Toc483325747"/>
      <w:bookmarkStart w:id="1687" w:name="_Toc483316444"/>
      <w:bookmarkStart w:id="1688" w:name="_Toc483316313"/>
      <w:bookmarkStart w:id="1689" w:name="_Toc483316110"/>
      <w:bookmarkStart w:id="1690" w:name="_Toc483315905"/>
      <w:bookmarkStart w:id="1691" w:name="_Toc483302355"/>
      <w:bookmarkStart w:id="1692" w:name="_Toc498419741"/>
      <w:bookmarkStart w:id="1693" w:name="_Toc497831543"/>
      <w:bookmarkStart w:id="1694" w:name="_Toc497728148"/>
      <w:bookmarkStart w:id="1695" w:name="_Toc497484950"/>
      <w:bookmarkStart w:id="1696" w:name="_Toc498419740"/>
      <w:bookmarkStart w:id="1697" w:name="_Toc498419739"/>
      <w:bookmarkStart w:id="1698" w:name="_Toc498419738"/>
      <w:bookmarkStart w:id="1699" w:name="_Toc498419737"/>
      <w:bookmarkStart w:id="1700" w:name="_Toc498419736"/>
      <w:bookmarkStart w:id="1701" w:name="_Toc498419735"/>
      <w:bookmarkStart w:id="1702" w:name="_Toc498419742"/>
      <w:bookmarkStart w:id="1703" w:name="_Toc497831544"/>
      <w:bookmarkStart w:id="1704" w:name="_Toc139549427"/>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r w:rsidRPr="001051E3">
        <w:rPr>
          <w:rFonts w:ascii="Titillium" w:hAnsi="Titillium"/>
          <w:caps w:val="0"/>
          <w:sz w:val="18"/>
          <w:szCs w:val="18"/>
          <w:lang w:val="it-IT"/>
        </w:rPr>
        <w:t>INDICAZIONI SUI REQUISITI SPECIALI NEI RAGGRUPPAMENTI TEMPORANEI, CONSORZI ORDINARI, AGGREGAZIONI DI IMPRESE DI RETE, GEIE</w:t>
      </w:r>
      <w:bookmarkEnd w:id="1704"/>
    </w:p>
    <w:p w14:paraId="7E317670"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I soggetti di </w:t>
      </w:r>
      <w:r w:rsidRPr="003E70DE">
        <w:rPr>
          <w:rFonts w:ascii="Titillium" w:hAnsi="Titillium" w:cs="Calibri"/>
          <w:sz w:val="18"/>
          <w:szCs w:val="18"/>
        </w:rPr>
        <w:t>cui all’articolo 65</w:t>
      </w:r>
      <w:r>
        <w:rPr>
          <w:rFonts w:ascii="Titillium" w:hAnsi="Titillium" w:cs="Calibri"/>
          <w:sz w:val="18"/>
          <w:szCs w:val="18"/>
        </w:rPr>
        <w:t xml:space="preserve">, </w:t>
      </w:r>
      <w:r w:rsidRPr="003E70DE">
        <w:rPr>
          <w:rFonts w:ascii="Titillium" w:hAnsi="Titillium" w:cs="Calibri"/>
          <w:sz w:val="18"/>
          <w:szCs w:val="18"/>
        </w:rPr>
        <w:t>comma 2, lettera e), f) g) e h) del Codice d</w:t>
      </w:r>
      <w:r>
        <w:rPr>
          <w:rFonts w:ascii="Titillium" w:hAnsi="Titillium" w:cs="Calibri"/>
          <w:sz w:val="18"/>
          <w:szCs w:val="18"/>
        </w:rPr>
        <w:t xml:space="preserve">evono possedere i requisiti di ordine speciale nei termini di seguito indicati. </w:t>
      </w:r>
    </w:p>
    <w:p w14:paraId="4A99950E"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Alle aggregazioni di retisti, ai consorzi ordinari ed ai GEIE si applica la disciplina prevista per i raggruppamenti temporanei. </w:t>
      </w:r>
    </w:p>
    <w:p w14:paraId="00F8295C" w14:textId="77777777" w:rsidR="00276DF7" w:rsidRDefault="00276DF7" w:rsidP="00276DF7">
      <w:pPr>
        <w:shd w:val="clear" w:color="auto" w:fill="F2F2F2" w:themeFill="background1" w:themeFillShade="F2"/>
        <w:spacing w:before="60" w:after="60"/>
        <w:rPr>
          <w:rFonts w:ascii="Titillium" w:hAnsi="Titillium"/>
          <w:b/>
          <w:iCs/>
          <w:sz w:val="18"/>
          <w:szCs w:val="18"/>
        </w:rPr>
      </w:pPr>
    </w:p>
    <w:p w14:paraId="4B5757C8" w14:textId="77777777" w:rsidR="00276DF7" w:rsidRPr="0099471A" w:rsidRDefault="00276DF7" w:rsidP="00276DF7">
      <w:pPr>
        <w:shd w:val="clear" w:color="auto" w:fill="F2F2F2" w:themeFill="background1" w:themeFillShade="F2"/>
        <w:spacing w:before="60" w:after="60"/>
        <w:rPr>
          <w:rFonts w:ascii="Titillium" w:hAnsi="Titillium"/>
          <w:b/>
          <w:iCs/>
          <w:sz w:val="18"/>
          <w:szCs w:val="18"/>
        </w:rPr>
      </w:pPr>
      <w:r w:rsidRPr="0099471A">
        <w:rPr>
          <w:rFonts w:ascii="Titillium" w:hAnsi="Titillium"/>
          <w:b/>
          <w:iCs/>
          <w:sz w:val="18"/>
          <w:szCs w:val="18"/>
        </w:rPr>
        <w:t>Requisiti di idoneità professionale</w:t>
      </w:r>
    </w:p>
    <w:p w14:paraId="70CF77AF" w14:textId="77777777" w:rsidR="00276DF7" w:rsidRPr="00CC5F1E" w:rsidRDefault="00276DF7" w:rsidP="00276DF7">
      <w:pPr>
        <w:pStyle w:val="Paragrafoelenco"/>
        <w:numPr>
          <w:ilvl w:val="2"/>
          <w:numId w:val="70"/>
        </w:numPr>
        <w:shd w:val="clear" w:color="auto" w:fill="F2F2F2" w:themeFill="background1" w:themeFillShade="F2"/>
        <w:spacing w:before="60" w:after="60"/>
      </w:pPr>
      <w:r w:rsidRPr="0099471A">
        <w:rPr>
          <w:rFonts w:ascii="Titillium" w:eastAsia="Times New Roman" w:hAnsi="Titillium" w:cs="Calibri"/>
          <w:sz w:val="18"/>
          <w:szCs w:val="18"/>
          <w:lang w:eastAsia="en-US"/>
        </w:rPr>
        <w:t xml:space="preserve">Il requisito relativo all’iscrizione nel Registro delle Imprese oppure nell’Albo delle Imprese artigiane di cui di cui al punto </w:t>
      </w:r>
      <w:r w:rsidRPr="0099471A">
        <w:rPr>
          <w:rFonts w:ascii="Titillium" w:eastAsia="Times New Roman" w:hAnsi="Titillium" w:cs="Calibri"/>
          <w:sz w:val="18"/>
          <w:szCs w:val="18"/>
          <w:lang w:eastAsia="en-US"/>
        </w:rPr>
        <w:fldChar w:fldCharType="begin"/>
      </w:r>
      <w:r w:rsidRPr="0099471A">
        <w:rPr>
          <w:rFonts w:ascii="Titillium" w:eastAsia="Times New Roman" w:hAnsi="Titillium" w:cs="Calibri"/>
          <w:sz w:val="18"/>
          <w:szCs w:val="18"/>
          <w:lang w:eastAsia="en-US"/>
        </w:rPr>
        <w:instrText xml:space="preserve"> REF _Ref128681470 \r \h  \* MERGEFORMAT </w:instrText>
      </w:r>
      <w:r w:rsidRPr="0099471A">
        <w:rPr>
          <w:rFonts w:ascii="Titillium" w:eastAsia="Times New Roman" w:hAnsi="Titillium" w:cs="Calibri"/>
          <w:sz w:val="18"/>
          <w:szCs w:val="18"/>
          <w:lang w:eastAsia="en-US"/>
        </w:rPr>
      </w:r>
      <w:r w:rsidRPr="0099471A">
        <w:rPr>
          <w:rFonts w:ascii="Titillium" w:eastAsia="Times New Roman" w:hAnsi="Titillium" w:cs="Calibri"/>
          <w:sz w:val="18"/>
          <w:szCs w:val="18"/>
          <w:lang w:eastAsia="en-US"/>
        </w:rPr>
        <w:fldChar w:fldCharType="separate"/>
      </w:r>
      <w:r>
        <w:rPr>
          <w:rFonts w:ascii="Titillium" w:eastAsia="Times New Roman" w:hAnsi="Titillium" w:cs="Calibri"/>
          <w:sz w:val="18"/>
          <w:szCs w:val="18"/>
          <w:lang w:eastAsia="en-US"/>
        </w:rPr>
        <w:t>6.1</w:t>
      </w:r>
      <w:r w:rsidRPr="0099471A">
        <w:rPr>
          <w:rFonts w:ascii="Titillium" w:eastAsia="Times New Roman" w:hAnsi="Titillium" w:cs="Calibri"/>
          <w:sz w:val="18"/>
          <w:szCs w:val="18"/>
          <w:lang w:eastAsia="en-US"/>
        </w:rPr>
        <w:fldChar w:fldCharType="end"/>
      </w:r>
      <w:r w:rsidRPr="0099471A">
        <w:rPr>
          <w:rFonts w:ascii="Titillium" w:eastAsia="Times New Roman" w:hAnsi="Titillium" w:cs="Calibri"/>
          <w:sz w:val="18"/>
          <w:szCs w:val="18"/>
          <w:lang w:eastAsia="en-US"/>
        </w:rPr>
        <w:t xml:space="preserve"> deve essere posseduto</w:t>
      </w:r>
      <w:r w:rsidRPr="0099471A">
        <w:rPr>
          <w:rFonts w:ascii="Titillium" w:hAnsi="Titillium" w:cs="Calibri"/>
          <w:sz w:val="18"/>
          <w:szCs w:val="18"/>
        </w:rPr>
        <w:t>:</w:t>
      </w:r>
    </w:p>
    <w:p w14:paraId="622F6CAF" w14:textId="77777777" w:rsidR="00276DF7" w:rsidRDefault="00276DF7" w:rsidP="00276DF7">
      <w:pPr>
        <w:pStyle w:val="Paragrafoelenco"/>
        <w:numPr>
          <w:ilvl w:val="0"/>
          <w:numId w:val="64"/>
        </w:numPr>
        <w:shd w:val="clear" w:color="auto" w:fill="F2F2F2" w:themeFill="background1" w:themeFillShade="F2"/>
        <w:spacing w:before="60" w:after="60"/>
        <w:ind w:left="709"/>
      </w:pPr>
      <w:r>
        <w:rPr>
          <w:rFonts w:ascii="Titillium" w:hAnsi="Titillium" w:cs="Calibri"/>
          <w:sz w:val="18"/>
          <w:szCs w:val="18"/>
        </w:rPr>
        <w:t>da ciascun componente del raggruppamento/consorzio/GEIE anche da costituire, nonché dal GEIE medesimo;</w:t>
      </w:r>
    </w:p>
    <w:p w14:paraId="50695602" w14:textId="77777777" w:rsidR="00276DF7" w:rsidRDefault="00276DF7" w:rsidP="00276DF7">
      <w:pPr>
        <w:pStyle w:val="Paragrafoelenco"/>
        <w:numPr>
          <w:ilvl w:val="0"/>
          <w:numId w:val="64"/>
        </w:numPr>
        <w:shd w:val="clear" w:color="auto" w:fill="F2F2F2" w:themeFill="background1" w:themeFillShade="F2"/>
        <w:spacing w:before="60" w:after="60"/>
        <w:ind w:left="709"/>
        <w:rPr>
          <w:rFonts w:ascii="Titillium" w:hAnsi="Titillium" w:cs="Calibri"/>
          <w:sz w:val="18"/>
          <w:szCs w:val="18"/>
        </w:rPr>
      </w:pPr>
      <w:r>
        <w:rPr>
          <w:rFonts w:ascii="Titillium" w:hAnsi="Titillium" w:cs="Calibri"/>
          <w:sz w:val="18"/>
          <w:szCs w:val="18"/>
        </w:rPr>
        <w:t>da ciascun componente dell’aggregazione di rete nonché dall’organo comune nel caso in cui questi abbia soggettività giuridica.</w:t>
      </w:r>
    </w:p>
    <w:p w14:paraId="74155BCC" w14:textId="77777777" w:rsidR="00276DF7" w:rsidRDefault="00276DF7" w:rsidP="00276DF7">
      <w:pPr>
        <w:shd w:val="clear" w:color="auto" w:fill="F2F2F2" w:themeFill="background1" w:themeFillShade="F2"/>
        <w:spacing w:before="60" w:after="60"/>
        <w:rPr>
          <w:rFonts w:ascii="Titillium" w:hAnsi="Titillium"/>
          <w:i/>
          <w:iCs/>
          <w:sz w:val="18"/>
          <w:szCs w:val="18"/>
        </w:rPr>
      </w:pPr>
      <w:r>
        <w:rPr>
          <w:rFonts w:ascii="Titillium" w:hAnsi="Titillium"/>
          <w:i/>
          <w:iCs/>
          <w:sz w:val="18"/>
          <w:szCs w:val="18"/>
        </w:rPr>
        <w:t xml:space="preserve">[Se l’iscrizione non è </w:t>
      </w:r>
      <w:r w:rsidRPr="0099471A">
        <w:rPr>
          <w:rFonts w:ascii="Titillium" w:hAnsi="Titillium"/>
          <w:i/>
          <w:iCs/>
          <w:sz w:val="18"/>
          <w:szCs w:val="18"/>
        </w:rPr>
        <w:t>dovuta per l’esercizio dell’attività oggetto dell’affidamento</w:t>
      </w:r>
      <w:r>
        <w:rPr>
          <w:rFonts w:ascii="Titillium" w:hAnsi="Titillium"/>
          <w:i/>
          <w:iCs/>
          <w:sz w:val="18"/>
          <w:szCs w:val="18"/>
        </w:rPr>
        <w:t>, eliminare la clausola]</w:t>
      </w:r>
    </w:p>
    <w:p w14:paraId="726F8F7A" w14:textId="77777777" w:rsidR="00276DF7" w:rsidRPr="0000590E" w:rsidRDefault="00276DF7" w:rsidP="00276DF7">
      <w:pPr>
        <w:pStyle w:val="Paragrafoelenco"/>
        <w:numPr>
          <w:ilvl w:val="2"/>
          <w:numId w:val="70"/>
        </w:numPr>
        <w:shd w:val="clear" w:color="auto" w:fill="F2F2F2" w:themeFill="background1" w:themeFillShade="F2"/>
        <w:spacing w:before="60" w:after="60"/>
        <w:ind w:left="284"/>
        <w:rPr>
          <w:bCs/>
        </w:rPr>
      </w:pPr>
      <w:r w:rsidRPr="0000590E">
        <w:rPr>
          <w:rFonts w:ascii="Titillium" w:hAnsi="Titillium"/>
          <w:b/>
          <w:i/>
          <w:sz w:val="18"/>
          <w:szCs w:val="18"/>
        </w:rPr>
        <w:t>[Se richiesti altri requisiti di idoneità professionale]</w:t>
      </w:r>
      <w:r w:rsidRPr="0000590E">
        <w:rPr>
          <w:rFonts w:ascii="Titillium" w:hAnsi="Titillium" w:cs="Calibri"/>
          <w:b/>
          <w:i/>
          <w:sz w:val="18"/>
          <w:szCs w:val="18"/>
        </w:rPr>
        <w:t xml:space="preserve"> </w:t>
      </w:r>
      <w:r w:rsidRPr="0000590E">
        <w:rPr>
          <w:rFonts w:ascii="Titillium" w:hAnsi="Titillium" w:cs="Calibri"/>
          <w:bCs/>
          <w:sz w:val="18"/>
          <w:szCs w:val="18"/>
        </w:rPr>
        <w:t>Il requisito relativo all’iscrizione …</w:t>
      </w:r>
      <w:r w:rsidRPr="0000590E">
        <w:rPr>
          <w:rFonts w:ascii="Titillium" w:hAnsi="Titillium" w:cs="Calibri"/>
          <w:b/>
          <w:sz w:val="18"/>
          <w:szCs w:val="18"/>
        </w:rPr>
        <w:t xml:space="preserve"> </w:t>
      </w:r>
      <w:r w:rsidRPr="0000590E">
        <w:rPr>
          <w:rFonts w:ascii="Titillium" w:hAnsi="Titillium" w:cs="Calibri"/>
          <w:bCs/>
          <w:i/>
          <w:iCs/>
          <w:sz w:val="18"/>
          <w:szCs w:val="18"/>
        </w:rPr>
        <w:t>[indicare tipologia di iscrizione richiesta]</w:t>
      </w:r>
      <w:r w:rsidRPr="0000590E">
        <w:rPr>
          <w:rFonts w:ascii="Titillium" w:hAnsi="Titillium" w:cs="Calibri"/>
          <w:bCs/>
          <w:sz w:val="18"/>
          <w:szCs w:val="18"/>
        </w:rPr>
        <w:t xml:space="preserve"> di cui al punto </w:t>
      </w:r>
      <w:r w:rsidRPr="0000590E">
        <w:rPr>
          <w:rFonts w:ascii="Titillium" w:hAnsi="Titillium" w:cs="Calibri"/>
          <w:sz w:val="18"/>
          <w:szCs w:val="18"/>
        </w:rPr>
        <w:fldChar w:fldCharType="begin"/>
      </w:r>
      <w:r w:rsidRPr="0000590E">
        <w:rPr>
          <w:rFonts w:ascii="Titillium" w:hAnsi="Titillium" w:cs="Calibri"/>
          <w:sz w:val="18"/>
          <w:szCs w:val="18"/>
        </w:rPr>
        <w:instrText xml:space="preserve"> REF _Ref128681470 \r \h  \* MERGEFORMAT </w:instrText>
      </w:r>
      <w:r w:rsidRPr="0000590E">
        <w:rPr>
          <w:rFonts w:ascii="Titillium" w:hAnsi="Titillium" w:cs="Calibri"/>
          <w:sz w:val="18"/>
          <w:szCs w:val="18"/>
        </w:rPr>
      </w:r>
      <w:r w:rsidRPr="0000590E">
        <w:rPr>
          <w:rFonts w:ascii="Titillium" w:hAnsi="Titillium" w:cs="Calibri"/>
          <w:sz w:val="18"/>
          <w:szCs w:val="18"/>
        </w:rPr>
        <w:fldChar w:fldCharType="separate"/>
      </w:r>
      <w:r>
        <w:rPr>
          <w:rFonts w:ascii="Titillium" w:hAnsi="Titillium" w:cs="Calibri"/>
          <w:sz w:val="18"/>
          <w:szCs w:val="18"/>
        </w:rPr>
        <w:t>6.1</w:t>
      </w:r>
      <w:r w:rsidRPr="0000590E">
        <w:rPr>
          <w:rFonts w:ascii="Titillium" w:hAnsi="Titillium" w:cs="Calibri"/>
          <w:sz w:val="18"/>
          <w:szCs w:val="18"/>
        </w:rPr>
        <w:fldChar w:fldCharType="end"/>
      </w:r>
      <w:r w:rsidRPr="0000590E">
        <w:rPr>
          <w:rFonts w:ascii="Titillium" w:hAnsi="Titillium" w:cs="Calibri"/>
          <w:sz w:val="18"/>
          <w:szCs w:val="18"/>
        </w:rPr>
        <w:t xml:space="preserve"> </w:t>
      </w:r>
      <w:r w:rsidRPr="0000590E">
        <w:rPr>
          <w:rFonts w:ascii="Titillium" w:hAnsi="Titillium" w:cs="Calibri"/>
          <w:bCs/>
          <w:sz w:val="18"/>
          <w:szCs w:val="18"/>
        </w:rPr>
        <w:t>deve essere posseduto dall’esecutore</w:t>
      </w:r>
      <w:r>
        <w:rPr>
          <w:rFonts w:ascii="Titillium" w:hAnsi="Titillium" w:cs="Calibri"/>
          <w:bCs/>
          <w:i/>
          <w:sz w:val="18"/>
          <w:szCs w:val="18"/>
        </w:rPr>
        <w:t>.</w:t>
      </w:r>
    </w:p>
    <w:p w14:paraId="3CE02A97" w14:textId="77777777" w:rsidR="00276DF7" w:rsidRDefault="00276DF7" w:rsidP="00276DF7">
      <w:pPr>
        <w:shd w:val="clear" w:color="auto" w:fill="F2F2F2" w:themeFill="background1" w:themeFillShade="F2"/>
        <w:spacing w:before="60" w:after="60"/>
        <w:rPr>
          <w:rFonts w:ascii="Titillium" w:hAnsi="Titillium"/>
          <w:b/>
          <w:i/>
          <w:sz w:val="18"/>
          <w:szCs w:val="18"/>
        </w:rPr>
      </w:pPr>
    </w:p>
    <w:p w14:paraId="7ECEB2A7" w14:textId="77777777" w:rsidR="00276DF7" w:rsidRDefault="00276DF7" w:rsidP="00276DF7">
      <w:pPr>
        <w:shd w:val="clear" w:color="auto" w:fill="F2F2F2" w:themeFill="background1" w:themeFillShade="F2"/>
        <w:spacing w:before="60" w:after="60"/>
        <w:rPr>
          <w:rFonts w:ascii="Titillium" w:hAnsi="Titillium"/>
          <w:b/>
          <w:iCs/>
          <w:sz w:val="18"/>
          <w:szCs w:val="18"/>
        </w:rPr>
      </w:pPr>
      <w:r w:rsidRPr="0099471A">
        <w:rPr>
          <w:rFonts w:ascii="Titillium" w:hAnsi="Titillium"/>
          <w:b/>
          <w:iCs/>
          <w:sz w:val="18"/>
          <w:szCs w:val="18"/>
        </w:rPr>
        <w:t>Requisiti di capacità economico finanziaria</w:t>
      </w:r>
    </w:p>
    <w:p w14:paraId="5AA89BAA" w14:textId="0AC4AF38" w:rsidR="00276DF7" w:rsidRPr="0099471A" w:rsidRDefault="00276DF7" w:rsidP="00276DF7">
      <w:pPr>
        <w:pStyle w:val="Paragrafoelenco"/>
        <w:numPr>
          <w:ilvl w:val="2"/>
          <w:numId w:val="71"/>
        </w:numPr>
        <w:shd w:val="clear" w:color="auto" w:fill="F2F2F2" w:themeFill="background1" w:themeFillShade="F2"/>
        <w:spacing w:before="60" w:after="60"/>
      </w:pPr>
      <w:r w:rsidRPr="0099471A">
        <w:rPr>
          <w:rFonts w:ascii="Titillium" w:hAnsi="Titillium"/>
          <w:b/>
          <w:i/>
          <w:sz w:val="18"/>
          <w:szCs w:val="18"/>
        </w:rPr>
        <w:t xml:space="preserve">[Se richiesto] </w:t>
      </w:r>
      <w:r w:rsidRPr="0099471A">
        <w:rPr>
          <w:rFonts w:ascii="Titillium" w:hAnsi="Titillium" w:cs="Calibri"/>
          <w:sz w:val="18"/>
          <w:szCs w:val="18"/>
        </w:rPr>
        <w:t>Il requisito relativo al fatturato globale</w:t>
      </w:r>
      <w:r w:rsidRPr="0099471A">
        <w:rPr>
          <w:rFonts w:ascii="Titillium" w:hAnsi="Titillium" w:cs="Calibri"/>
          <w:i/>
          <w:sz w:val="18"/>
          <w:szCs w:val="18"/>
        </w:rPr>
        <w:t xml:space="preserve"> </w:t>
      </w:r>
      <w:r w:rsidRPr="0099471A">
        <w:rPr>
          <w:rFonts w:ascii="Titillium" w:hAnsi="Titillium" w:cs="Calibri"/>
          <w:sz w:val="18"/>
          <w:szCs w:val="18"/>
        </w:rPr>
        <w:t xml:space="preserve">di cui al punto </w:t>
      </w:r>
      <w:r w:rsidRPr="0099471A">
        <w:rPr>
          <w:rFonts w:ascii="Titillium" w:hAnsi="Titillium" w:cs="Calibri"/>
          <w:sz w:val="18"/>
          <w:szCs w:val="18"/>
        </w:rPr>
        <w:fldChar w:fldCharType="begin"/>
      </w:r>
      <w:r w:rsidRPr="0099471A">
        <w:rPr>
          <w:rFonts w:ascii="Titillium" w:hAnsi="Titillium" w:cs="Calibri"/>
          <w:sz w:val="18"/>
          <w:szCs w:val="18"/>
        </w:rPr>
        <w:instrText xml:space="preserve"> REF _Ref495411575 \r \h </w:instrText>
      </w:r>
      <w:r w:rsidRPr="0099471A">
        <w:rPr>
          <w:rFonts w:ascii="Titillium" w:hAnsi="Titillium" w:cs="Calibri"/>
          <w:sz w:val="18"/>
          <w:szCs w:val="18"/>
        </w:rPr>
      </w:r>
      <w:r>
        <w:rPr>
          <w:rFonts w:ascii="Titillium" w:hAnsi="Titillium" w:cs="Calibri"/>
          <w:sz w:val="18"/>
          <w:szCs w:val="18"/>
        </w:rPr>
        <w:instrText xml:space="preserve"> \* MERGEFORMAT </w:instrText>
      </w:r>
      <w:r w:rsidRPr="0099471A">
        <w:rPr>
          <w:rFonts w:ascii="Titillium" w:hAnsi="Titillium" w:cs="Calibri"/>
          <w:sz w:val="18"/>
          <w:szCs w:val="18"/>
        </w:rPr>
        <w:fldChar w:fldCharType="separate"/>
      </w:r>
      <w:r>
        <w:rPr>
          <w:rFonts w:ascii="Titillium" w:hAnsi="Titillium" w:cs="Calibri"/>
          <w:sz w:val="18"/>
          <w:szCs w:val="18"/>
        </w:rPr>
        <w:t>6.2</w:t>
      </w:r>
      <w:r w:rsidRPr="0099471A">
        <w:rPr>
          <w:rFonts w:ascii="Titillium" w:hAnsi="Titillium" w:cs="Calibri"/>
          <w:sz w:val="18"/>
          <w:szCs w:val="18"/>
        </w:rPr>
        <w:fldChar w:fldCharType="end"/>
      </w:r>
      <w:r w:rsidRPr="0099471A">
        <w:rPr>
          <w:rFonts w:ascii="Titillium" w:hAnsi="Titillium" w:cs="Calibri"/>
          <w:sz w:val="18"/>
          <w:szCs w:val="18"/>
        </w:rPr>
        <w:t xml:space="preserve"> deve essere soddisfatto dal raggruppamento temporaneo nel complesso</w:t>
      </w:r>
      <w:r>
        <w:rPr>
          <w:rFonts w:ascii="Titillium" w:hAnsi="Titillium" w:cs="Calibri"/>
          <w:sz w:val="18"/>
          <w:szCs w:val="18"/>
        </w:rPr>
        <w:t>.</w:t>
      </w:r>
    </w:p>
    <w:p w14:paraId="1168B149" w14:textId="77777777" w:rsidR="00276DF7" w:rsidRPr="00F82DCF" w:rsidRDefault="00276DF7" w:rsidP="00276DF7">
      <w:pPr>
        <w:shd w:val="clear" w:color="auto" w:fill="F2F2F2" w:themeFill="background1" w:themeFillShade="F2"/>
        <w:spacing w:before="60" w:after="60"/>
        <w:ind w:left="284"/>
        <w:rPr>
          <w:rFonts w:ascii="Titillium" w:hAnsi="Titillium"/>
          <w:b/>
          <w:i/>
          <w:sz w:val="18"/>
          <w:szCs w:val="18"/>
        </w:rPr>
      </w:pPr>
      <w:r w:rsidRPr="00F82DCF">
        <w:rPr>
          <w:rFonts w:ascii="Titillium" w:hAnsi="Titillium"/>
          <w:b/>
          <w:i/>
          <w:sz w:val="18"/>
          <w:szCs w:val="18"/>
        </w:rPr>
        <w:t>[o in alternativa]</w:t>
      </w:r>
    </w:p>
    <w:p w14:paraId="7865FFE7" w14:textId="3682ACB2" w:rsidR="00276DF7" w:rsidRDefault="00276DF7" w:rsidP="00276DF7">
      <w:pPr>
        <w:shd w:val="clear" w:color="auto" w:fill="F2F2F2" w:themeFill="background1" w:themeFillShade="F2"/>
        <w:spacing w:before="60" w:after="60"/>
        <w:ind w:left="284"/>
        <w:rPr>
          <w:rFonts w:ascii="Titillium" w:hAnsi="Titillium" w:cs="Calibri"/>
          <w:i/>
          <w:sz w:val="18"/>
          <w:szCs w:val="18"/>
          <w:lang w:eastAsia="it-IT"/>
        </w:rPr>
      </w:pPr>
      <w:r w:rsidRPr="00F82DCF">
        <w:rPr>
          <w:rFonts w:ascii="Titillium" w:hAnsi="Titillium" w:cs="Calibri"/>
          <w:b/>
          <w:i/>
          <w:sz w:val="18"/>
          <w:szCs w:val="18"/>
          <w:lang w:eastAsia="it-IT"/>
        </w:rPr>
        <w:t>[Se richiesto]</w:t>
      </w:r>
      <w:r>
        <w:rPr>
          <w:rFonts w:ascii="Titillium" w:hAnsi="Titillium" w:cs="Calibri"/>
          <w:b/>
          <w:i/>
          <w:sz w:val="18"/>
          <w:szCs w:val="18"/>
          <w:lang w:eastAsia="it-IT"/>
        </w:rPr>
        <w:t xml:space="preserve"> </w:t>
      </w:r>
      <w:r w:rsidRPr="00F82DCF">
        <w:rPr>
          <w:rFonts w:ascii="Titillium" w:hAnsi="Titillium" w:cs="Calibri"/>
          <w:sz w:val="18"/>
          <w:szCs w:val="18"/>
          <w:lang w:eastAsia="it-IT"/>
        </w:rPr>
        <w:t>Il requisito relativo al fatturato globale</w:t>
      </w:r>
      <w:r w:rsidRPr="00F82DCF">
        <w:rPr>
          <w:rFonts w:ascii="Titillium" w:hAnsi="Titillium" w:cs="Calibri"/>
          <w:i/>
          <w:sz w:val="18"/>
          <w:szCs w:val="18"/>
          <w:lang w:eastAsia="it-IT"/>
        </w:rPr>
        <w:t xml:space="preserve"> </w:t>
      </w:r>
      <w:r w:rsidRPr="00F82DCF">
        <w:rPr>
          <w:rFonts w:ascii="Titillium" w:hAnsi="Titillium" w:cs="Calibri"/>
          <w:sz w:val="18"/>
          <w:szCs w:val="18"/>
          <w:lang w:eastAsia="it-IT"/>
        </w:rPr>
        <w:t xml:space="preserve">di cui al punto </w:t>
      </w:r>
      <w:r>
        <w:rPr>
          <w:rFonts w:ascii="Titillium" w:hAnsi="Titillium" w:cs="Calibri"/>
          <w:sz w:val="18"/>
          <w:szCs w:val="18"/>
          <w:lang w:eastAsia="it-IT"/>
        </w:rPr>
        <w:fldChar w:fldCharType="begin"/>
      </w:r>
      <w:r>
        <w:rPr>
          <w:rFonts w:ascii="Titillium" w:hAnsi="Titillium" w:cs="Calibri"/>
          <w:sz w:val="18"/>
          <w:szCs w:val="18"/>
          <w:lang w:eastAsia="it-IT"/>
        </w:rPr>
        <w:instrText xml:space="preserve"> REF _Ref495411575 \r \h </w:instrText>
      </w:r>
      <w:r>
        <w:rPr>
          <w:rFonts w:ascii="Titillium" w:hAnsi="Titillium" w:cs="Calibri"/>
          <w:sz w:val="18"/>
          <w:szCs w:val="18"/>
          <w:lang w:eastAsia="it-IT"/>
        </w:rPr>
      </w:r>
      <w:r>
        <w:rPr>
          <w:rFonts w:ascii="Titillium" w:hAnsi="Titillium" w:cs="Calibri"/>
          <w:sz w:val="18"/>
          <w:szCs w:val="18"/>
          <w:lang w:eastAsia="it-IT"/>
        </w:rPr>
        <w:instrText xml:space="preserve"> \* MERGEFORMAT </w:instrText>
      </w:r>
      <w:r>
        <w:rPr>
          <w:rFonts w:ascii="Titillium" w:hAnsi="Titillium" w:cs="Calibri"/>
          <w:sz w:val="18"/>
          <w:szCs w:val="18"/>
          <w:lang w:eastAsia="it-IT"/>
        </w:rPr>
        <w:fldChar w:fldCharType="separate"/>
      </w:r>
      <w:r>
        <w:rPr>
          <w:rFonts w:ascii="Titillium" w:hAnsi="Titillium" w:cs="Calibri"/>
          <w:sz w:val="18"/>
          <w:szCs w:val="18"/>
          <w:lang w:eastAsia="it-IT"/>
        </w:rPr>
        <w:t>6.2</w:t>
      </w:r>
      <w:r>
        <w:rPr>
          <w:rFonts w:ascii="Titillium" w:hAnsi="Titillium" w:cs="Calibri"/>
          <w:sz w:val="18"/>
          <w:szCs w:val="18"/>
          <w:lang w:eastAsia="it-IT"/>
        </w:rPr>
        <w:fldChar w:fldCharType="end"/>
      </w:r>
      <w:r>
        <w:rPr>
          <w:rFonts w:ascii="Titillium" w:hAnsi="Titillium" w:cs="Calibri"/>
          <w:sz w:val="18"/>
          <w:szCs w:val="18"/>
          <w:lang w:eastAsia="it-IT"/>
        </w:rPr>
        <w:t xml:space="preserve"> </w:t>
      </w:r>
      <w:r w:rsidRPr="00F82DCF">
        <w:rPr>
          <w:rFonts w:ascii="Titillium" w:hAnsi="Titillium" w:cs="Calibri"/>
          <w:sz w:val="18"/>
          <w:szCs w:val="18"/>
          <w:lang w:eastAsia="it-IT"/>
        </w:rPr>
        <w:t>deve essere soddisfatto dal raggruppamento temporaneo nei termini di seguito indicati …</w:t>
      </w:r>
      <w:r w:rsidRPr="00F82DCF">
        <w:rPr>
          <w:rFonts w:ascii="Titillium" w:hAnsi="Titillium" w:cs="Calibri"/>
          <w:i/>
          <w:sz w:val="18"/>
          <w:szCs w:val="18"/>
          <w:lang w:eastAsia="it-IT"/>
        </w:rPr>
        <w:t xml:space="preserve"> [</w:t>
      </w:r>
      <w:r>
        <w:rPr>
          <w:rFonts w:ascii="Titillium" w:hAnsi="Titillium" w:cs="Calibri"/>
          <w:i/>
          <w:sz w:val="18"/>
          <w:szCs w:val="18"/>
          <w:lang w:eastAsia="it-IT"/>
        </w:rPr>
        <w:t xml:space="preserve">ai sensi dell’art. 68, comma 4, lett. b) del Codice è possibile indicare le </w:t>
      </w:r>
      <w:r w:rsidRPr="00F82DCF">
        <w:rPr>
          <w:rFonts w:ascii="Titillium" w:hAnsi="Titillium" w:cs="Calibri"/>
          <w:i/>
          <w:sz w:val="18"/>
          <w:szCs w:val="18"/>
          <w:lang w:eastAsia="it-IT"/>
        </w:rPr>
        <w:t xml:space="preserve">modalità con cui il raggruppamento deve ottemperare ai requisiti, </w:t>
      </w:r>
      <w:r w:rsidRPr="00B71887">
        <w:rPr>
          <w:rFonts w:ascii="Titillium" w:hAnsi="Titillium" w:cs="Calibri"/>
          <w:i/>
          <w:sz w:val="18"/>
          <w:szCs w:val="18"/>
          <w:lang w:eastAsia="it-IT"/>
        </w:rPr>
        <w:t>purché ciò sia</w:t>
      </w:r>
      <w:r>
        <w:rPr>
          <w:rFonts w:ascii="Titillium" w:hAnsi="Titillium" w:cs="Calibri"/>
          <w:i/>
          <w:sz w:val="18"/>
          <w:szCs w:val="18"/>
          <w:lang w:eastAsia="it-IT"/>
        </w:rPr>
        <w:t xml:space="preserve"> </w:t>
      </w:r>
      <w:r w:rsidRPr="00B71887">
        <w:rPr>
          <w:rFonts w:ascii="Titillium" w:hAnsi="Titillium" w:cs="Calibri"/>
          <w:i/>
          <w:sz w:val="18"/>
          <w:szCs w:val="18"/>
          <w:lang w:eastAsia="it-IT"/>
        </w:rPr>
        <w:t>proporzionato e giustificato da motivazioni obiettive</w:t>
      </w:r>
      <w:r>
        <w:rPr>
          <w:rFonts w:ascii="Titillium" w:hAnsi="Titillium" w:cs="Calibri"/>
          <w:i/>
          <w:sz w:val="18"/>
          <w:szCs w:val="18"/>
          <w:lang w:eastAsia="it-IT"/>
        </w:rPr>
        <w:t>].</w:t>
      </w:r>
      <w:r w:rsidRPr="00AD1171">
        <w:rPr>
          <w:rFonts w:ascii="Titillium" w:hAnsi="Titillium" w:cs="Calibri"/>
          <w:i/>
          <w:sz w:val="18"/>
          <w:szCs w:val="18"/>
          <w:lang w:eastAsia="it-IT"/>
        </w:rPr>
        <w:t xml:space="preserve"> </w:t>
      </w:r>
    </w:p>
    <w:p w14:paraId="7C173E92" w14:textId="77777777" w:rsidR="00276DF7" w:rsidRPr="006A3B79" w:rsidRDefault="00276DF7" w:rsidP="00276DF7">
      <w:pPr>
        <w:pStyle w:val="Paragrafoelenco"/>
        <w:numPr>
          <w:ilvl w:val="2"/>
          <w:numId w:val="71"/>
        </w:numPr>
        <w:shd w:val="clear" w:color="auto" w:fill="F2F2F2" w:themeFill="background1" w:themeFillShade="F2"/>
        <w:spacing w:before="60" w:after="60"/>
      </w:pPr>
      <w:r w:rsidRPr="00A2765A">
        <w:rPr>
          <w:rFonts w:ascii="Titillium" w:hAnsi="Titillium" w:cs="Calibri"/>
          <w:b/>
          <w:bCs/>
          <w:i/>
          <w:sz w:val="18"/>
          <w:szCs w:val="18"/>
        </w:rPr>
        <w:lastRenderedPageBreak/>
        <w:t xml:space="preserve">[Se richiesti ulteriori requisiti economico finanziari previsti dalla normativa </w:t>
      </w:r>
      <w:r w:rsidRPr="00F968CC">
        <w:rPr>
          <w:rFonts w:ascii="Titillium" w:hAnsi="Titillium" w:cs="Calibri"/>
          <w:b/>
          <w:bCs/>
          <w:i/>
          <w:sz w:val="18"/>
          <w:szCs w:val="18"/>
        </w:rPr>
        <w:t>vigente]</w:t>
      </w:r>
      <w:r w:rsidRPr="00A2765A">
        <w:rPr>
          <w:rFonts w:ascii="Titillium" w:hAnsi="Titillium" w:cs="Calibri"/>
          <w:iCs/>
          <w:sz w:val="18"/>
          <w:szCs w:val="18"/>
        </w:rPr>
        <w:t xml:space="preserve"> Il requisito relativo a …. </w:t>
      </w:r>
      <w:r w:rsidRPr="00A2765A">
        <w:rPr>
          <w:rFonts w:ascii="Titillium" w:hAnsi="Titillium" w:cs="Calibri"/>
          <w:i/>
          <w:sz w:val="18"/>
          <w:szCs w:val="18"/>
        </w:rPr>
        <w:t>[specificare il requisito]</w:t>
      </w:r>
      <w:r w:rsidRPr="00A2765A">
        <w:rPr>
          <w:rFonts w:ascii="Titillium" w:hAnsi="Titillium" w:cs="Calibri"/>
          <w:iCs/>
          <w:sz w:val="18"/>
          <w:szCs w:val="18"/>
        </w:rPr>
        <w:t xml:space="preserve"> di cui al punto </w:t>
      </w:r>
      <w:r w:rsidRPr="00A2765A">
        <w:rPr>
          <w:rFonts w:ascii="Titillium" w:hAnsi="Titillium" w:cs="Calibri"/>
          <w:iCs/>
          <w:sz w:val="18"/>
          <w:szCs w:val="18"/>
        </w:rPr>
        <w:fldChar w:fldCharType="begin"/>
      </w:r>
      <w:r w:rsidRPr="00A2765A">
        <w:rPr>
          <w:rFonts w:ascii="Titillium" w:hAnsi="Titillium" w:cs="Calibri"/>
          <w:iCs/>
          <w:sz w:val="18"/>
          <w:szCs w:val="18"/>
        </w:rPr>
        <w:instrText xml:space="preserve"> REF _Ref495411575 \r \h </w:instrText>
      </w:r>
      <w:r>
        <w:rPr>
          <w:rFonts w:ascii="Titillium" w:hAnsi="Titillium" w:cs="Calibri"/>
          <w:iCs/>
          <w:sz w:val="18"/>
          <w:szCs w:val="18"/>
        </w:rPr>
        <w:instrText xml:space="preserve"> \* MERGEFORMAT </w:instrText>
      </w:r>
      <w:r w:rsidRPr="00A2765A">
        <w:rPr>
          <w:rFonts w:ascii="Titillium" w:hAnsi="Titillium" w:cs="Calibri"/>
          <w:iCs/>
          <w:sz w:val="18"/>
          <w:szCs w:val="18"/>
        </w:rPr>
      </w:r>
      <w:r w:rsidRPr="00A2765A">
        <w:rPr>
          <w:rFonts w:ascii="Titillium" w:hAnsi="Titillium" w:cs="Calibri"/>
          <w:iCs/>
          <w:sz w:val="18"/>
          <w:szCs w:val="18"/>
        </w:rPr>
        <w:fldChar w:fldCharType="separate"/>
      </w:r>
      <w:r>
        <w:rPr>
          <w:rFonts w:ascii="Titillium" w:hAnsi="Titillium" w:cs="Calibri"/>
          <w:iCs/>
          <w:sz w:val="18"/>
          <w:szCs w:val="18"/>
        </w:rPr>
        <w:t>6.2</w:t>
      </w:r>
      <w:r w:rsidRPr="00A2765A">
        <w:rPr>
          <w:rFonts w:ascii="Titillium" w:hAnsi="Titillium" w:cs="Calibri"/>
          <w:iCs/>
          <w:sz w:val="18"/>
          <w:szCs w:val="18"/>
        </w:rPr>
        <w:fldChar w:fldCharType="end"/>
      </w:r>
      <w:r w:rsidRPr="00A2765A">
        <w:rPr>
          <w:rFonts w:ascii="Titillium" w:hAnsi="Titillium" w:cs="Calibri"/>
          <w:iCs/>
          <w:sz w:val="18"/>
          <w:szCs w:val="18"/>
        </w:rPr>
        <w:t xml:space="preserve"> deve essere soddisfatto dal raggruppamento temporaneo nei termini di seguito indicati </w:t>
      </w:r>
      <w:r w:rsidRPr="00A2765A">
        <w:rPr>
          <w:rFonts w:ascii="Titillium" w:hAnsi="Titillium" w:cs="Calibri"/>
          <w:i/>
          <w:sz w:val="18"/>
          <w:szCs w:val="18"/>
        </w:rPr>
        <w:t xml:space="preserve">… </w:t>
      </w:r>
      <w:r w:rsidRPr="00B71887">
        <w:rPr>
          <w:rFonts w:ascii="Titillium" w:hAnsi="Titillium" w:cs="Calibri"/>
          <w:bCs/>
          <w:i/>
          <w:sz w:val="18"/>
          <w:szCs w:val="18"/>
        </w:rPr>
        <w:t>[indicare quali soggetti devono possedere il requisito</w:t>
      </w:r>
      <w:r w:rsidRPr="00A2765A">
        <w:rPr>
          <w:rFonts w:ascii="Titillium" w:hAnsi="Titillium" w:cs="Calibri"/>
          <w:i/>
          <w:sz w:val="18"/>
          <w:szCs w:val="18"/>
        </w:rPr>
        <w:t>].</w:t>
      </w:r>
    </w:p>
    <w:p w14:paraId="22C85868" w14:textId="77777777" w:rsidR="00276DF7" w:rsidRPr="0099471A" w:rsidRDefault="00276DF7" w:rsidP="00276DF7">
      <w:pPr>
        <w:pStyle w:val="Paragrafoelenco"/>
        <w:shd w:val="clear" w:color="auto" w:fill="F2F2F2" w:themeFill="background1" w:themeFillShade="F2"/>
        <w:spacing w:before="60" w:after="60"/>
        <w:ind w:left="360"/>
      </w:pPr>
    </w:p>
    <w:p w14:paraId="7AF460E0" w14:textId="77777777" w:rsidR="00276DF7" w:rsidRPr="0099471A" w:rsidRDefault="00276DF7" w:rsidP="00276DF7">
      <w:pPr>
        <w:shd w:val="clear" w:color="auto" w:fill="F2F2F2" w:themeFill="background1" w:themeFillShade="F2"/>
        <w:spacing w:before="60" w:after="60"/>
        <w:rPr>
          <w:rFonts w:ascii="Titillium" w:hAnsi="Titillium"/>
          <w:b/>
          <w:iCs/>
          <w:sz w:val="18"/>
          <w:szCs w:val="18"/>
        </w:rPr>
      </w:pPr>
      <w:r w:rsidRPr="0099471A">
        <w:rPr>
          <w:rFonts w:ascii="Titillium" w:hAnsi="Titillium"/>
          <w:b/>
          <w:iCs/>
          <w:sz w:val="18"/>
          <w:szCs w:val="18"/>
        </w:rPr>
        <w:t xml:space="preserve">Requisiti di capacità </w:t>
      </w:r>
      <w:r>
        <w:rPr>
          <w:rFonts w:ascii="Titillium" w:hAnsi="Titillium"/>
          <w:b/>
          <w:iCs/>
          <w:sz w:val="18"/>
          <w:szCs w:val="18"/>
        </w:rPr>
        <w:t>tecnico-professionale</w:t>
      </w:r>
    </w:p>
    <w:p w14:paraId="0C355C14" w14:textId="77777777" w:rsidR="00276DF7" w:rsidRPr="00B71887" w:rsidRDefault="00276DF7" w:rsidP="00276DF7">
      <w:pPr>
        <w:pStyle w:val="Paragrafoelenco"/>
        <w:numPr>
          <w:ilvl w:val="2"/>
          <w:numId w:val="72"/>
        </w:numPr>
        <w:shd w:val="clear" w:color="auto" w:fill="F2F2F2" w:themeFill="background1" w:themeFillShade="F2"/>
        <w:spacing w:before="60" w:after="60"/>
        <w:ind w:left="284" w:hanging="284"/>
      </w:pPr>
      <w:r w:rsidRPr="001B44C8">
        <w:rPr>
          <w:rFonts w:ascii="Titillium" w:hAnsi="Titillium" w:cs="Calibri"/>
          <w:b/>
          <w:i/>
          <w:sz w:val="18"/>
          <w:szCs w:val="18"/>
        </w:rPr>
        <w:t xml:space="preserve">[Se richiesto elenco di servizi/forniture analoghi] </w:t>
      </w:r>
      <w:r w:rsidRPr="001B44C8">
        <w:rPr>
          <w:rFonts w:ascii="Titillium" w:hAnsi="Titillium" w:cs="Calibri"/>
          <w:sz w:val="18"/>
          <w:szCs w:val="18"/>
        </w:rPr>
        <w:t xml:space="preserve">Il requisito dei servizi analoghi </w:t>
      </w:r>
      <w:r w:rsidRPr="001B44C8">
        <w:rPr>
          <w:rFonts w:ascii="Titillium" w:hAnsi="Titillium" w:cs="Calibri"/>
          <w:i/>
          <w:iCs/>
          <w:sz w:val="18"/>
          <w:szCs w:val="18"/>
        </w:rPr>
        <w:t>[o forniture analoghe]</w:t>
      </w:r>
      <w:r w:rsidRPr="001B44C8">
        <w:rPr>
          <w:rFonts w:ascii="Titillium" w:hAnsi="Titillium" w:cs="Calibri"/>
          <w:sz w:val="18"/>
          <w:szCs w:val="18"/>
        </w:rPr>
        <w:t xml:space="preserve"> di cui al precedente</w:t>
      </w:r>
      <w:r w:rsidRPr="00A2765A">
        <w:rPr>
          <w:rFonts w:ascii="Titillium" w:hAnsi="Titillium" w:cs="Calibri"/>
          <w:sz w:val="18"/>
          <w:szCs w:val="18"/>
        </w:rPr>
        <w:t xml:space="preserve"> punto </w:t>
      </w:r>
      <w:r w:rsidRPr="00A2765A">
        <w:rPr>
          <w:rFonts w:ascii="Titillium" w:hAnsi="Titillium" w:cs="Calibri"/>
          <w:sz w:val="18"/>
          <w:szCs w:val="18"/>
        </w:rPr>
        <w:fldChar w:fldCharType="begin"/>
      </w:r>
      <w:r w:rsidRPr="00A2765A">
        <w:rPr>
          <w:rFonts w:ascii="Titillium" w:hAnsi="Titillium" w:cs="Calibri"/>
          <w:sz w:val="18"/>
          <w:szCs w:val="18"/>
        </w:rPr>
        <w:instrText xml:space="preserve"> REF _Ref495506173 \r \h  \* MERGEFORMAT </w:instrText>
      </w:r>
      <w:r w:rsidRPr="00A2765A">
        <w:rPr>
          <w:rFonts w:ascii="Titillium" w:hAnsi="Titillium" w:cs="Calibri"/>
          <w:sz w:val="18"/>
          <w:szCs w:val="18"/>
        </w:rPr>
      </w:r>
      <w:r w:rsidRPr="00A2765A">
        <w:rPr>
          <w:rFonts w:ascii="Titillium" w:hAnsi="Titillium" w:cs="Calibri"/>
          <w:sz w:val="18"/>
          <w:szCs w:val="18"/>
        </w:rPr>
        <w:fldChar w:fldCharType="separate"/>
      </w:r>
      <w:r>
        <w:rPr>
          <w:rFonts w:ascii="Titillium" w:hAnsi="Titillium" w:cs="Calibri"/>
          <w:sz w:val="18"/>
          <w:szCs w:val="18"/>
        </w:rPr>
        <w:t>6.3</w:t>
      </w:r>
      <w:r w:rsidRPr="00A2765A">
        <w:rPr>
          <w:rFonts w:ascii="Titillium" w:hAnsi="Titillium" w:cs="Calibri"/>
          <w:sz w:val="18"/>
          <w:szCs w:val="18"/>
        </w:rPr>
        <w:fldChar w:fldCharType="end"/>
      </w:r>
      <w:r w:rsidRPr="00A2765A">
        <w:rPr>
          <w:rFonts w:ascii="Titillium" w:hAnsi="Titillium" w:cs="Calibri"/>
          <w:sz w:val="18"/>
          <w:szCs w:val="18"/>
        </w:rPr>
        <w:t xml:space="preserve"> richiesto in relazione alla prestazione … </w:t>
      </w:r>
      <w:r w:rsidRPr="00A2765A">
        <w:rPr>
          <w:rFonts w:ascii="Titillium" w:hAnsi="Titillium" w:cs="Calibri"/>
          <w:i/>
          <w:iCs/>
          <w:sz w:val="18"/>
          <w:szCs w:val="18"/>
        </w:rPr>
        <w:t>[indicare la prestazione]</w:t>
      </w:r>
      <w:r w:rsidRPr="00A2765A">
        <w:rPr>
          <w:rFonts w:ascii="Titillium" w:hAnsi="Titillium" w:cs="Calibri"/>
          <w:sz w:val="18"/>
          <w:szCs w:val="18"/>
        </w:rPr>
        <w:t xml:space="preserve"> deve essere posseduto dal raggruppamento nel complesso</w:t>
      </w:r>
      <w:r>
        <w:rPr>
          <w:rFonts w:ascii="Titillium" w:hAnsi="Titillium" w:cs="Calibri"/>
          <w:sz w:val="18"/>
          <w:szCs w:val="18"/>
        </w:rPr>
        <w:t>.</w:t>
      </w:r>
    </w:p>
    <w:p w14:paraId="761A118D" w14:textId="77777777" w:rsidR="00276DF7" w:rsidRPr="00B71887" w:rsidRDefault="00276DF7" w:rsidP="00276DF7">
      <w:pPr>
        <w:shd w:val="clear" w:color="auto" w:fill="F2F2F2" w:themeFill="background1" w:themeFillShade="F2"/>
        <w:spacing w:before="60" w:after="60"/>
        <w:ind w:left="284"/>
        <w:rPr>
          <w:rFonts w:ascii="Titillium" w:hAnsi="Titillium"/>
          <w:b/>
          <w:i/>
          <w:sz w:val="18"/>
          <w:szCs w:val="18"/>
        </w:rPr>
      </w:pPr>
      <w:r w:rsidRPr="00B71887">
        <w:rPr>
          <w:rFonts w:ascii="Titillium" w:hAnsi="Titillium"/>
          <w:b/>
          <w:i/>
          <w:sz w:val="18"/>
          <w:szCs w:val="18"/>
        </w:rPr>
        <w:t>[o in alternativa]</w:t>
      </w:r>
    </w:p>
    <w:p w14:paraId="61204774" w14:textId="77777777" w:rsidR="00276DF7" w:rsidRPr="00B71887" w:rsidRDefault="00276DF7" w:rsidP="00276DF7">
      <w:pPr>
        <w:shd w:val="clear" w:color="auto" w:fill="F2F2F2" w:themeFill="background1" w:themeFillShade="F2"/>
        <w:spacing w:before="60" w:after="60"/>
        <w:ind w:left="284"/>
        <w:rPr>
          <w:rFonts w:ascii="Titillium" w:hAnsi="Titillium" w:cs="Calibri"/>
          <w:i/>
          <w:sz w:val="18"/>
          <w:szCs w:val="18"/>
        </w:rPr>
      </w:pPr>
      <w:r w:rsidRPr="00B71887">
        <w:rPr>
          <w:rFonts w:ascii="Titillium" w:hAnsi="Titillium" w:cs="Calibri"/>
          <w:b/>
          <w:i/>
          <w:sz w:val="18"/>
          <w:szCs w:val="18"/>
        </w:rPr>
        <w:t>[Se richiesto</w:t>
      </w:r>
      <w:r w:rsidRPr="00B71887">
        <w:rPr>
          <w:rFonts w:ascii="Titillium" w:hAnsi="Titillium" w:cs="Calibri"/>
          <w:sz w:val="18"/>
          <w:szCs w:val="18"/>
        </w:rPr>
        <w:t xml:space="preserve"> </w:t>
      </w:r>
      <w:r w:rsidRPr="00A2765A">
        <w:rPr>
          <w:rFonts w:ascii="Titillium" w:hAnsi="Titillium" w:cs="Calibri"/>
          <w:sz w:val="18"/>
          <w:szCs w:val="18"/>
        </w:rPr>
        <w:t xml:space="preserve">Il requisito dell’elenco dei servizi/forniture analoghi di cui al precedente punto </w:t>
      </w:r>
      <w:r w:rsidRPr="00A2765A">
        <w:rPr>
          <w:rFonts w:ascii="Titillium" w:hAnsi="Titillium" w:cs="Calibri"/>
          <w:sz w:val="18"/>
          <w:szCs w:val="18"/>
        </w:rPr>
        <w:fldChar w:fldCharType="begin"/>
      </w:r>
      <w:r w:rsidRPr="00A2765A">
        <w:rPr>
          <w:rFonts w:ascii="Titillium" w:hAnsi="Titillium" w:cs="Calibri"/>
          <w:sz w:val="18"/>
          <w:szCs w:val="18"/>
        </w:rPr>
        <w:instrText xml:space="preserve"> REF _Ref495506173 \r \h  \* MERGEFORMAT </w:instrText>
      </w:r>
      <w:r w:rsidRPr="00A2765A">
        <w:rPr>
          <w:rFonts w:ascii="Titillium" w:hAnsi="Titillium" w:cs="Calibri"/>
          <w:sz w:val="18"/>
          <w:szCs w:val="18"/>
        </w:rPr>
      </w:r>
      <w:r w:rsidRPr="00A2765A">
        <w:rPr>
          <w:rFonts w:ascii="Titillium" w:hAnsi="Titillium" w:cs="Calibri"/>
          <w:sz w:val="18"/>
          <w:szCs w:val="18"/>
        </w:rPr>
        <w:fldChar w:fldCharType="separate"/>
      </w:r>
      <w:r>
        <w:rPr>
          <w:rFonts w:ascii="Titillium" w:hAnsi="Titillium" w:cs="Calibri"/>
          <w:sz w:val="18"/>
          <w:szCs w:val="18"/>
        </w:rPr>
        <w:t>6.3</w:t>
      </w:r>
      <w:r w:rsidRPr="00A2765A">
        <w:rPr>
          <w:rFonts w:ascii="Titillium" w:hAnsi="Titillium" w:cs="Calibri"/>
          <w:sz w:val="18"/>
          <w:szCs w:val="18"/>
        </w:rPr>
        <w:fldChar w:fldCharType="end"/>
      </w:r>
      <w:r w:rsidRPr="00A2765A">
        <w:rPr>
          <w:rFonts w:ascii="Titillium" w:hAnsi="Titillium" w:cs="Calibri"/>
          <w:sz w:val="18"/>
          <w:szCs w:val="18"/>
        </w:rPr>
        <w:t xml:space="preserve"> </w:t>
      </w:r>
      <w:r w:rsidRPr="00B71887">
        <w:rPr>
          <w:rFonts w:ascii="Titillium" w:hAnsi="Titillium" w:cs="Calibri"/>
          <w:sz w:val="18"/>
          <w:szCs w:val="18"/>
        </w:rPr>
        <w:t xml:space="preserve"> deve essere soddisfatto dal raggruppamento temporaneo nei termini di seguito indicati …</w:t>
      </w:r>
      <w:r w:rsidRPr="00B71887">
        <w:rPr>
          <w:rFonts w:ascii="Titillium" w:hAnsi="Titillium" w:cs="Calibri"/>
          <w:i/>
          <w:sz w:val="18"/>
          <w:szCs w:val="18"/>
        </w:rPr>
        <w:t xml:space="preserve"> [ai sensi dell’art. 68</w:t>
      </w:r>
      <w:r>
        <w:rPr>
          <w:rFonts w:ascii="Titillium" w:hAnsi="Titillium" w:cs="Calibri"/>
          <w:i/>
          <w:sz w:val="18"/>
          <w:szCs w:val="18"/>
        </w:rPr>
        <w:t>,</w:t>
      </w:r>
      <w:r w:rsidRPr="00B71887">
        <w:rPr>
          <w:rFonts w:ascii="Titillium" w:hAnsi="Titillium" w:cs="Calibri"/>
          <w:i/>
          <w:sz w:val="18"/>
          <w:szCs w:val="18"/>
        </w:rPr>
        <w:t xml:space="preserve"> comma 4</w:t>
      </w:r>
      <w:r>
        <w:rPr>
          <w:rFonts w:ascii="Titillium" w:hAnsi="Titillium" w:cs="Calibri"/>
          <w:i/>
          <w:sz w:val="18"/>
          <w:szCs w:val="18"/>
        </w:rPr>
        <w:t>,</w:t>
      </w:r>
      <w:r w:rsidRPr="00B71887">
        <w:rPr>
          <w:rFonts w:ascii="Titillium" w:hAnsi="Titillium" w:cs="Calibri"/>
          <w:i/>
          <w:sz w:val="18"/>
          <w:szCs w:val="18"/>
        </w:rPr>
        <w:t xml:space="preserve"> lett. b)</w:t>
      </w:r>
      <w:r>
        <w:rPr>
          <w:rFonts w:ascii="Titillium" w:hAnsi="Titillium" w:cs="Calibri"/>
          <w:i/>
          <w:sz w:val="18"/>
          <w:szCs w:val="18"/>
        </w:rPr>
        <w:t xml:space="preserve"> del Codice</w:t>
      </w:r>
      <w:r w:rsidRPr="00B71887">
        <w:rPr>
          <w:rFonts w:ascii="Titillium" w:hAnsi="Titillium" w:cs="Calibri"/>
          <w:i/>
          <w:sz w:val="18"/>
          <w:szCs w:val="18"/>
        </w:rPr>
        <w:t xml:space="preserve"> è possibile indicare le modalità con cui il raggruppamento deve ottemperare ai requisiti, purché ciò sia proporzionato e giustificato da motivazioni obiettive]. </w:t>
      </w:r>
    </w:p>
    <w:p w14:paraId="2E622973" w14:textId="77777777" w:rsidR="00276DF7" w:rsidRPr="0099471A"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iCs/>
          <w:sz w:val="18"/>
          <w:szCs w:val="18"/>
        </w:rPr>
      </w:pPr>
      <w:r>
        <w:rPr>
          <w:rFonts w:ascii="Titillium" w:hAnsi="Titillium" w:cs="Calibri"/>
          <w:i/>
          <w:iCs/>
          <w:sz w:val="18"/>
          <w:szCs w:val="18"/>
        </w:rPr>
        <w:t xml:space="preserve">N.B.: </w:t>
      </w:r>
      <w:r w:rsidRPr="0099471A">
        <w:rPr>
          <w:rFonts w:ascii="Titillium" w:hAnsi="Titillium" w:cs="Calibri"/>
          <w:i/>
          <w:iCs/>
          <w:sz w:val="18"/>
          <w:szCs w:val="18"/>
        </w:rPr>
        <w:t>se richiest</w:t>
      </w:r>
      <w:r>
        <w:rPr>
          <w:rFonts w:ascii="Titillium" w:hAnsi="Titillium" w:cs="Calibri"/>
          <w:i/>
          <w:iCs/>
          <w:sz w:val="18"/>
          <w:szCs w:val="18"/>
        </w:rPr>
        <w:t xml:space="preserve">o elenco di </w:t>
      </w:r>
      <w:r w:rsidRPr="0099471A">
        <w:rPr>
          <w:rFonts w:ascii="Titillium" w:hAnsi="Titillium" w:cs="Calibri"/>
          <w:i/>
          <w:iCs/>
          <w:sz w:val="18"/>
          <w:szCs w:val="18"/>
        </w:rPr>
        <w:t>servizi/forniture in prestazioni diverse ripetere la dicitura</w:t>
      </w:r>
      <w:r>
        <w:rPr>
          <w:rFonts w:ascii="Titillium" w:hAnsi="Titillium" w:cs="Calibri"/>
          <w:i/>
          <w:iCs/>
          <w:sz w:val="18"/>
          <w:szCs w:val="18"/>
        </w:rPr>
        <w:t xml:space="preserve"> per ogni prestazione</w:t>
      </w:r>
    </w:p>
    <w:p w14:paraId="06DCE15F" w14:textId="77777777" w:rsidR="00276DF7" w:rsidRDefault="00276DF7" w:rsidP="00276DF7">
      <w:pPr>
        <w:shd w:val="clear" w:color="auto" w:fill="F2F2F2" w:themeFill="background1" w:themeFillShade="F2"/>
        <w:spacing w:before="60" w:after="60"/>
        <w:rPr>
          <w:rFonts w:ascii="Titillium" w:hAnsi="Titillium" w:cs="Calibri"/>
          <w:strike/>
          <w:sz w:val="18"/>
          <w:szCs w:val="18"/>
        </w:rPr>
      </w:pPr>
    </w:p>
    <w:p w14:paraId="62BE9CA7" w14:textId="77777777" w:rsidR="00276DF7" w:rsidRPr="006A3B79" w:rsidRDefault="00276DF7" w:rsidP="00276DF7">
      <w:pPr>
        <w:pStyle w:val="Paragrafoelenco"/>
        <w:numPr>
          <w:ilvl w:val="2"/>
          <w:numId w:val="71"/>
        </w:numPr>
        <w:shd w:val="clear" w:color="auto" w:fill="F2F2F2" w:themeFill="background1" w:themeFillShade="F2"/>
        <w:spacing w:before="60" w:after="60"/>
      </w:pPr>
      <w:r w:rsidRPr="00A2765A">
        <w:rPr>
          <w:rFonts w:ascii="Titillium" w:hAnsi="Titillium" w:cs="Calibri"/>
          <w:b/>
          <w:bCs/>
          <w:i/>
          <w:sz w:val="18"/>
          <w:szCs w:val="18"/>
        </w:rPr>
        <w:t xml:space="preserve">[Se richiesti ulteriori requisiti </w:t>
      </w:r>
      <w:r>
        <w:rPr>
          <w:rFonts w:ascii="Titillium" w:hAnsi="Titillium" w:cs="Calibri"/>
          <w:b/>
          <w:bCs/>
          <w:i/>
          <w:sz w:val="18"/>
          <w:szCs w:val="18"/>
        </w:rPr>
        <w:t>tecnico professionali</w:t>
      </w:r>
      <w:r w:rsidRPr="00A2765A">
        <w:rPr>
          <w:rFonts w:ascii="Titillium" w:hAnsi="Titillium" w:cs="Calibri"/>
          <w:b/>
          <w:bCs/>
          <w:i/>
          <w:sz w:val="18"/>
          <w:szCs w:val="18"/>
        </w:rPr>
        <w:t xml:space="preserve"> previsti dalla normativa vigente</w:t>
      </w:r>
      <w:r w:rsidRPr="00A2765A">
        <w:rPr>
          <w:rFonts w:ascii="Titillium" w:hAnsi="Titillium" w:cs="Calibri"/>
          <w:b/>
          <w:bCs/>
          <w:iCs/>
          <w:sz w:val="18"/>
          <w:szCs w:val="18"/>
        </w:rPr>
        <w:t>]</w:t>
      </w:r>
      <w:r w:rsidRPr="00A2765A">
        <w:rPr>
          <w:rFonts w:ascii="Titillium" w:hAnsi="Titillium" w:cs="Calibri"/>
          <w:iCs/>
          <w:sz w:val="18"/>
          <w:szCs w:val="18"/>
        </w:rPr>
        <w:t xml:space="preserve"> Il requisito relativo a …. </w:t>
      </w:r>
      <w:r w:rsidRPr="00A2765A">
        <w:rPr>
          <w:rFonts w:ascii="Titillium" w:hAnsi="Titillium" w:cs="Calibri"/>
          <w:i/>
          <w:sz w:val="18"/>
          <w:szCs w:val="18"/>
        </w:rPr>
        <w:t>[specificare il requisito]</w:t>
      </w:r>
      <w:r w:rsidRPr="00A2765A">
        <w:rPr>
          <w:rFonts w:ascii="Titillium" w:hAnsi="Titillium" w:cs="Calibri"/>
          <w:iCs/>
          <w:sz w:val="18"/>
          <w:szCs w:val="18"/>
        </w:rPr>
        <w:t xml:space="preserve"> di cui al punto </w:t>
      </w:r>
      <w:r w:rsidRPr="00AD3779">
        <w:rPr>
          <w:rFonts w:ascii="Titillium" w:hAnsi="Titillium" w:cs="Calibri"/>
          <w:sz w:val="18"/>
          <w:szCs w:val="18"/>
        </w:rPr>
        <w:fldChar w:fldCharType="begin"/>
      </w:r>
      <w:r w:rsidRPr="00AD3779">
        <w:rPr>
          <w:rFonts w:ascii="Titillium" w:hAnsi="Titillium" w:cs="Calibri"/>
          <w:sz w:val="18"/>
          <w:szCs w:val="18"/>
        </w:rPr>
        <w:instrText xml:space="preserve"> REF _Ref495506173 \r \h  \* MERGEFORMAT </w:instrText>
      </w:r>
      <w:r w:rsidRPr="00AD3779">
        <w:rPr>
          <w:rFonts w:ascii="Titillium" w:hAnsi="Titillium" w:cs="Calibri"/>
          <w:sz w:val="18"/>
          <w:szCs w:val="18"/>
        </w:rPr>
      </w:r>
      <w:r w:rsidRPr="00AD3779">
        <w:rPr>
          <w:rFonts w:ascii="Titillium" w:hAnsi="Titillium" w:cs="Calibri"/>
          <w:sz w:val="18"/>
          <w:szCs w:val="18"/>
        </w:rPr>
        <w:fldChar w:fldCharType="separate"/>
      </w:r>
      <w:r>
        <w:rPr>
          <w:rFonts w:ascii="Titillium" w:hAnsi="Titillium" w:cs="Calibri"/>
          <w:sz w:val="18"/>
          <w:szCs w:val="18"/>
        </w:rPr>
        <w:t>6.3</w:t>
      </w:r>
      <w:r w:rsidRPr="00AD3779">
        <w:rPr>
          <w:rFonts w:ascii="Titillium" w:hAnsi="Titillium" w:cs="Calibri"/>
          <w:sz w:val="18"/>
          <w:szCs w:val="18"/>
        </w:rPr>
        <w:fldChar w:fldCharType="end"/>
      </w:r>
      <w:r w:rsidRPr="00A2765A">
        <w:rPr>
          <w:rFonts w:ascii="Titillium" w:hAnsi="Titillium" w:cs="Calibri"/>
          <w:iCs/>
          <w:sz w:val="18"/>
          <w:szCs w:val="18"/>
        </w:rPr>
        <w:t xml:space="preserve"> deve essere soddisfatto dal raggruppamento temporaneo nei termini di seguito indicati </w:t>
      </w:r>
      <w:r w:rsidRPr="00A2765A">
        <w:rPr>
          <w:rFonts w:ascii="Titillium" w:hAnsi="Titillium" w:cs="Calibri"/>
          <w:i/>
          <w:sz w:val="18"/>
          <w:szCs w:val="18"/>
        </w:rPr>
        <w:t>… [la stazione appaltante indica le eventuali modalità con cui il raggruppamento deve ottemperare ai requisiti, nel rispetto del principio di proporzionalità].</w:t>
      </w:r>
    </w:p>
    <w:p w14:paraId="458C93C6" w14:textId="77777777" w:rsidR="00276DF7" w:rsidRDefault="00276DF7" w:rsidP="00276DF7">
      <w:pPr>
        <w:shd w:val="clear" w:color="auto" w:fill="F2F2F2" w:themeFill="background1" w:themeFillShade="F2"/>
        <w:spacing w:before="60" w:after="60"/>
        <w:rPr>
          <w:rFonts w:ascii="Titillium" w:hAnsi="Titillium" w:cs="Calibri"/>
          <w:strike/>
          <w:sz w:val="18"/>
          <w:szCs w:val="18"/>
        </w:rPr>
      </w:pPr>
    </w:p>
    <w:p w14:paraId="3D0DFC5B" w14:textId="77777777" w:rsidR="00276DF7" w:rsidRDefault="00276DF7" w:rsidP="00276DF7">
      <w:pPr>
        <w:shd w:val="clear" w:color="auto" w:fill="F2F2F2" w:themeFill="background1" w:themeFillShade="F2"/>
        <w:spacing w:before="60" w:after="60"/>
        <w:rPr>
          <w:rFonts w:ascii="Titillium" w:hAnsi="Titillium"/>
          <w:sz w:val="18"/>
        </w:rPr>
      </w:pPr>
      <w:r>
        <w:rPr>
          <w:rFonts w:ascii="Titillium" w:hAnsi="Titillium"/>
          <w:sz w:val="18"/>
        </w:rPr>
        <w:t>Nel caso in cui</w:t>
      </w:r>
      <w:r w:rsidRPr="00FA010F">
        <w:rPr>
          <w:rFonts w:ascii="Titillium" w:hAnsi="Titillium"/>
          <w:sz w:val="18"/>
        </w:rPr>
        <w:t xml:space="preserve"> un </w:t>
      </w:r>
      <w:r>
        <w:rPr>
          <w:rFonts w:ascii="Titillium" w:hAnsi="Titillium"/>
          <w:sz w:val="18"/>
        </w:rPr>
        <w:t>raggruppamento</w:t>
      </w:r>
      <w:r w:rsidRPr="00FA010F">
        <w:rPr>
          <w:rFonts w:ascii="Titillium" w:hAnsi="Titillium"/>
          <w:sz w:val="18"/>
        </w:rPr>
        <w:t xml:space="preserve"> </w:t>
      </w:r>
      <w:r>
        <w:rPr>
          <w:rFonts w:ascii="Titillium" w:hAnsi="Titillium"/>
          <w:sz w:val="18"/>
        </w:rPr>
        <w:t>abbia estromesso o sostituito un partecipante allo stesso</w:t>
      </w:r>
      <w:r w:rsidRPr="00FA010F">
        <w:rPr>
          <w:rFonts w:ascii="Titillium" w:hAnsi="Titillium"/>
          <w:sz w:val="18"/>
        </w:rPr>
        <w:t xml:space="preserve"> </w:t>
      </w:r>
      <w:r>
        <w:rPr>
          <w:rFonts w:ascii="Titillium" w:hAnsi="Titillium"/>
          <w:sz w:val="18"/>
        </w:rPr>
        <w:t>poiché privo di un requisito di ordine speciale di cui all’articolo 100 del Codice, si valutano le misure adottate ai sensi dell’articolo 97 del Codice al fine di decidere sull’esclusione del raggruppamento.</w:t>
      </w:r>
      <w:r w:rsidRPr="00FA010F">
        <w:rPr>
          <w:rFonts w:ascii="Titillium" w:hAnsi="Titillium"/>
          <w:sz w:val="18"/>
        </w:rPr>
        <w:t xml:space="preserve"> </w:t>
      </w:r>
    </w:p>
    <w:p w14:paraId="5C96F856" w14:textId="77777777" w:rsidR="00276DF7" w:rsidRDefault="00276DF7" w:rsidP="00276DF7">
      <w:pPr>
        <w:shd w:val="clear" w:color="auto" w:fill="F2F2F2" w:themeFill="background1" w:themeFillShade="F2"/>
        <w:spacing w:before="60" w:after="60"/>
        <w:rPr>
          <w:rFonts w:ascii="Titillium" w:hAnsi="Titillium"/>
          <w:sz w:val="18"/>
        </w:rPr>
      </w:pPr>
    </w:p>
    <w:p w14:paraId="26C1EDCF" w14:textId="77777777" w:rsidR="00276DF7" w:rsidRPr="0062004E" w:rsidRDefault="00276DF7" w:rsidP="00276DF7">
      <w:pPr>
        <w:pStyle w:val="Titolo3"/>
        <w:numPr>
          <w:ilvl w:val="1"/>
          <w:numId w:val="4"/>
        </w:numPr>
        <w:shd w:val="clear" w:color="auto" w:fill="F2F2F2" w:themeFill="background1" w:themeFillShade="F2"/>
        <w:ind w:left="426" w:hanging="426"/>
        <w:rPr>
          <w:rFonts w:ascii="Titillium" w:hAnsi="Titillium"/>
          <w:caps w:val="0"/>
          <w:sz w:val="18"/>
          <w:szCs w:val="18"/>
          <w:lang w:val="it-IT"/>
        </w:rPr>
      </w:pPr>
      <w:bookmarkStart w:id="1705" w:name="_Toc497728151"/>
      <w:bookmarkStart w:id="1706" w:name="_Toc497484953"/>
      <w:bookmarkStart w:id="1707" w:name="_Toc494359032"/>
      <w:bookmarkStart w:id="1708" w:name="_Toc494358983"/>
      <w:bookmarkStart w:id="1709" w:name="_Toc498419744"/>
      <w:bookmarkStart w:id="1710" w:name="_Toc497831546"/>
      <w:bookmarkStart w:id="1711" w:name="_Ref496007652"/>
      <w:bookmarkStart w:id="1712" w:name="_Ref496007650"/>
      <w:bookmarkStart w:id="1713" w:name="_Toc139549428"/>
      <w:bookmarkEnd w:id="1705"/>
      <w:bookmarkEnd w:id="1706"/>
      <w:bookmarkEnd w:id="1707"/>
      <w:bookmarkEnd w:id="1708"/>
      <w:bookmarkEnd w:id="1709"/>
      <w:bookmarkEnd w:id="1710"/>
      <w:r w:rsidRPr="0062004E">
        <w:rPr>
          <w:rFonts w:ascii="Titillium" w:hAnsi="Titillium"/>
          <w:caps w:val="0"/>
          <w:sz w:val="18"/>
          <w:szCs w:val="18"/>
          <w:lang w:val="it-IT"/>
        </w:rPr>
        <w:t>INDICAZIONI SUI REQUISITI</w:t>
      </w:r>
      <w:r>
        <w:rPr>
          <w:rFonts w:ascii="Titillium" w:hAnsi="Titillium"/>
          <w:caps w:val="0"/>
          <w:sz w:val="18"/>
          <w:szCs w:val="18"/>
          <w:lang w:val="it-IT"/>
        </w:rPr>
        <w:t xml:space="preserve"> SPECIALI</w:t>
      </w:r>
      <w:r w:rsidRPr="0062004E">
        <w:rPr>
          <w:rFonts w:ascii="Titillium" w:hAnsi="Titillium"/>
          <w:caps w:val="0"/>
          <w:sz w:val="18"/>
          <w:szCs w:val="18"/>
          <w:lang w:val="it-IT"/>
        </w:rPr>
        <w:t xml:space="preserve"> NEI</w:t>
      </w:r>
      <w:r>
        <w:rPr>
          <w:rFonts w:ascii="Titillium" w:hAnsi="Titillium"/>
          <w:caps w:val="0"/>
          <w:sz w:val="18"/>
          <w:szCs w:val="18"/>
          <w:lang w:val="it-IT"/>
        </w:rPr>
        <w:t xml:space="preserve"> </w:t>
      </w:r>
      <w:r w:rsidRPr="0062004E">
        <w:rPr>
          <w:rFonts w:ascii="Titillium" w:hAnsi="Titillium"/>
          <w:caps w:val="0"/>
          <w:sz w:val="18"/>
          <w:szCs w:val="18"/>
          <w:lang w:val="it-IT"/>
        </w:rPr>
        <w:t>CONSORZI DI COOPERATIVE, CONSORZI DI IMPRESE ARTIGIANE, CONSORZI STABILI</w:t>
      </w:r>
      <w:bookmarkEnd w:id="1711"/>
      <w:bookmarkEnd w:id="1712"/>
      <w:bookmarkEnd w:id="1713"/>
      <w:r w:rsidRPr="0062004E">
        <w:rPr>
          <w:rFonts w:ascii="Titillium" w:hAnsi="Titillium"/>
          <w:caps w:val="0"/>
          <w:sz w:val="18"/>
          <w:szCs w:val="18"/>
          <w:lang w:val="it-IT"/>
        </w:rPr>
        <w:t xml:space="preserve"> </w:t>
      </w:r>
    </w:p>
    <w:p w14:paraId="78CCED9F" w14:textId="77777777" w:rsidR="00276DF7" w:rsidRPr="0000590E" w:rsidRDefault="00276DF7" w:rsidP="00276DF7">
      <w:pPr>
        <w:shd w:val="clear" w:color="auto" w:fill="F2F2F2" w:themeFill="background1" w:themeFillShade="F2"/>
        <w:spacing w:before="60" w:after="60"/>
        <w:rPr>
          <w:rFonts w:ascii="Titillium" w:hAnsi="Titillium"/>
          <w:b/>
          <w:iCs/>
          <w:sz w:val="18"/>
          <w:szCs w:val="18"/>
        </w:rPr>
      </w:pPr>
      <w:r w:rsidRPr="0000590E">
        <w:rPr>
          <w:rFonts w:ascii="Titillium" w:hAnsi="Titillium"/>
          <w:b/>
          <w:iCs/>
          <w:sz w:val="18"/>
          <w:szCs w:val="18"/>
        </w:rPr>
        <w:t>Requisiti di idoneità professionale</w:t>
      </w:r>
    </w:p>
    <w:p w14:paraId="68C4DB47" w14:textId="77777777" w:rsidR="00276DF7" w:rsidRPr="0000590E" w:rsidRDefault="00276DF7" w:rsidP="00276DF7">
      <w:pPr>
        <w:pStyle w:val="Paragrafoelenco"/>
        <w:numPr>
          <w:ilvl w:val="2"/>
          <w:numId w:val="73"/>
        </w:numPr>
        <w:shd w:val="clear" w:color="auto" w:fill="F2F2F2" w:themeFill="background1" w:themeFillShade="F2"/>
        <w:spacing w:before="60" w:after="60"/>
      </w:pPr>
      <w:r w:rsidRPr="0000590E">
        <w:rPr>
          <w:rFonts w:ascii="Titillium" w:eastAsia="Times New Roman" w:hAnsi="Titillium" w:cs="Calibri"/>
          <w:sz w:val="18"/>
          <w:szCs w:val="18"/>
          <w:lang w:eastAsia="en-US"/>
        </w:rPr>
        <w:t xml:space="preserve">Il requisito relativo all’iscrizione nel Registro delle Imprese oppure nell’Albo delle Imprese artigiane di cui di cui al punto </w:t>
      </w:r>
      <w:r w:rsidRPr="0000590E">
        <w:rPr>
          <w:rFonts w:ascii="Titillium" w:eastAsia="Times New Roman" w:hAnsi="Titillium" w:cs="Calibri"/>
          <w:sz w:val="18"/>
          <w:szCs w:val="18"/>
          <w:lang w:eastAsia="en-US"/>
        </w:rPr>
        <w:fldChar w:fldCharType="begin"/>
      </w:r>
      <w:r w:rsidRPr="0000590E">
        <w:rPr>
          <w:rFonts w:ascii="Titillium" w:eastAsia="Times New Roman" w:hAnsi="Titillium" w:cs="Calibri"/>
          <w:sz w:val="18"/>
          <w:szCs w:val="18"/>
          <w:lang w:eastAsia="en-US"/>
        </w:rPr>
        <w:instrText xml:space="preserve"> REF _Ref128681470 \r \h  \* MERGEFORMAT </w:instrText>
      </w:r>
      <w:r w:rsidRPr="0000590E">
        <w:rPr>
          <w:rFonts w:ascii="Titillium" w:eastAsia="Times New Roman" w:hAnsi="Titillium" w:cs="Calibri"/>
          <w:sz w:val="18"/>
          <w:szCs w:val="18"/>
          <w:lang w:eastAsia="en-US"/>
        </w:rPr>
      </w:r>
      <w:r w:rsidRPr="0000590E">
        <w:rPr>
          <w:rFonts w:ascii="Titillium" w:eastAsia="Times New Roman" w:hAnsi="Titillium" w:cs="Calibri"/>
          <w:sz w:val="18"/>
          <w:szCs w:val="18"/>
          <w:lang w:eastAsia="en-US"/>
        </w:rPr>
        <w:fldChar w:fldCharType="separate"/>
      </w:r>
      <w:r>
        <w:rPr>
          <w:rFonts w:ascii="Titillium" w:eastAsia="Times New Roman" w:hAnsi="Titillium" w:cs="Calibri"/>
          <w:sz w:val="18"/>
          <w:szCs w:val="18"/>
          <w:lang w:eastAsia="en-US"/>
        </w:rPr>
        <w:t>6.1</w:t>
      </w:r>
      <w:r w:rsidRPr="0000590E">
        <w:rPr>
          <w:rFonts w:ascii="Titillium" w:eastAsia="Times New Roman" w:hAnsi="Titillium" w:cs="Calibri"/>
          <w:sz w:val="18"/>
          <w:szCs w:val="18"/>
          <w:lang w:eastAsia="en-US"/>
        </w:rPr>
        <w:fldChar w:fldCharType="end"/>
      </w:r>
      <w:r w:rsidRPr="0000590E">
        <w:rPr>
          <w:rFonts w:ascii="Titillium" w:eastAsia="Times New Roman" w:hAnsi="Titillium" w:cs="Calibri"/>
          <w:sz w:val="18"/>
          <w:szCs w:val="18"/>
          <w:lang w:eastAsia="en-US"/>
        </w:rPr>
        <w:t xml:space="preserve"> deve essere posseduto </w:t>
      </w:r>
      <w:r w:rsidRPr="0000590E">
        <w:rPr>
          <w:rFonts w:ascii="Titillium" w:hAnsi="Titillium" w:cs="Calibri"/>
          <w:sz w:val="18"/>
          <w:szCs w:val="18"/>
        </w:rPr>
        <w:t xml:space="preserve">dal consorzio e dai consorziati indicati come esecutori </w:t>
      </w:r>
      <w:r w:rsidRPr="0000590E">
        <w:rPr>
          <w:rFonts w:ascii="Titillium" w:hAnsi="Titillium"/>
          <w:i/>
          <w:iCs/>
          <w:sz w:val="18"/>
          <w:szCs w:val="18"/>
        </w:rPr>
        <w:t>[se l’iscrizione non è dovuta per l’esercizio dell’attività oggetto dell’affidamento, eliminare la clausola].</w:t>
      </w:r>
    </w:p>
    <w:p w14:paraId="631D2FFF" w14:textId="77777777" w:rsidR="00276DF7" w:rsidRPr="0000590E" w:rsidRDefault="00276DF7" w:rsidP="00276DF7">
      <w:pPr>
        <w:pStyle w:val="Paragrafoelenco"/>
        <w:numPr>
          <w:ilvl w:val="2"/>
          <w:numId w:val="73"/>
        </w:numPr>
        <w:shd w:val="clear" w:color="auto" w:fill="F2F2F2" w:themeFill="background1" w:themeFillShade="F2"/>
        <w:spacing w:before="60" w:after="60"/>
      </w:pPr>
      <w:r w:rsidRPr="0000590E">
        <w:rPr>
          <w:rFonts w:ascii="Titillium" w:hAnsi="Titillium"/>
          <w:b/>
          <w:i/>
          <w:sz w:val="18"/>
          <w:szCs w:val="18"/>
        </w:rPr>
        <w:t>[Se richiesti altri requisiti di idoneità]</w:t>
      </w:r>
      <w:r w:rsidRPr="0000590E">
        <w:rPr>
          <w:rFonts w:ascii="Titillium" w:hAnsi="Titillium"/>
          <w:b/>
          <w:sz w:val="18"/>
          <w:szCs w:val="18"/>
        </w:rPr>
        <w:t xml:space="preserve"> </w:t>
      </w:r>
      <w:r w:rsidRPr="0000590E">
        <w:rPr>
          <w:rFonts w:ascii="Titillium" w:hAnsi="Titillium" w:cs="Calibri"/>
          <w:sz w:val="18"/>
          <w:szCs w:val="18"/>
        </w:rPr>
        <w:t>Il requisito relativo all’iscrizione … [</w:t>
      </w:r>
      <w:r w:rsidRPr="0000590E">
        <w:rPr>
          <w:rFonts w:ascii="Titillium" w:hAnsi="Titillium" w:cs="Calibri"/>
          <w:i/>
          <w:iCs/>
          <w:sz w:val="18"/>
          <w:szCs w:val="18"/>
        </w:rPr>
        <w:t>indicare tipologia di iscrizione richiesta</w:t>
      </w:r>
      <w:r w:rsidRPr="0000590E">
        <w:rPr>
          <w:rFonts w:ascii="Titillium" w:hAnsi="Titillium" w:cs="Calibri"/>
          <w:sz w:val="18"/>
          <w:szCs w:val="18"/>
        </w:rPr>
        <w:t xml:space="preserve">] di cui al punto 6.1 deve essere posseduto </w:t>
      </w:r>
      <w:r w:rsidRPr="0062004E">
        <w:rPr>
          <w:rFonts w:ascii="Titillium" w:hAnsi="Titillium" w:cs="Calibri"/>
          <w:sz w:val="18"/>
          <w:szCs w:val="18"/>
        </w:rPr>
        <w:t>dal consorziato esecutore</w:t>
      </w:r>
      <w:r w:rsidRPr="0000590E">
        <w:rPr>
          <w:rFonts w:ascii="Titillium" w:hAnsi="Titillium" w:cs="Calibri"/>
          <w:sz w:val="18"/>
          <w:szCs w:val="18"/>
        </w:rPr>
        <w:t>.</w:t>
      </w:r>
    </w:p>
    <w:p w14:paraId="71C7377B" w14:textId="77777777" w:rsidR="00276DF7" w:rsidRDefault="00276DF7" w:rsidP="00276DF7">
      <w:pPr>
        <w:shd w:val="clear" w:color="auto" w:fill="F2F2F2" w:themeFill="background1" w:themeFillShade="F2"/>
        <w:spacing w:before="60" w:after="60"/>
        <w:rPr>
          <w:rFonts w:ascii="Titillium" w:hAnsi="Titillium"/>
          <w:b/>
          <w:iCs/>
          <w:sz w:val="18"/>
          <w:szCs w:val="18"/>
        </w:rPr>
      </w:pPr>
    </w:p>
    <w:p w14:paraId="02A84E77" w14:textId="77777777" w:rsidR="00276DF7" w:rsidRPr="0000590E" w:rsidRDefault="00276DF7" w:rsidP="00276DF7">
      <w:pPr>
        <w:shd w:val="clear" w:color="auto" w:fill="F2F2F2" w:themeFill="background1" w:themeFillShade="F2"/>
        <w:spacing w:before="60" w:after="60"/>
        <w:rPr>
          <w:rFonts w:ascii="Titillium" w:hAnsi="Titillium"/>
          <w:b/>
          <w:iCs/>
          <w:sz w:val="18"/>
          <w:szCs w:val="18"/>
        </w:rPr>
      </w:pPr>
      <w:r w:rsidRPr="0000590E">
        <w:rPr>
          <w:rFonts w:ascii="Titillium" w:hAnsi="Titillium"/>
          <w:b/>
          <w:iCs/>
          <w:sz w:val="18"/>
          <w:szCs w:val="18"/>
        </w:rPr>
        <w:t>Requisiti di capacità economico finanziaria e tecnico-professionale</w:t>
      </w:r>
    </w:p>
    <w:p w14:paraId="0DD6EA8C" w14:textId="77777777" w:rsidR="00276DF7" w:rsidRPr="00700292" w:rsidRDefault="00276DF7" w:rsidP="00276DF7">
      <w:pPr>
        <w:shd w:val="clear" w:color="auto" w:fill="F2F2F2" w:themeFill="background1" w:themeFillShade="F2"/>
        <w:spacing w:before="60" w:after="60"/>
        <w:rPr>
          <w:rFonts w:ascii="Titillium" w:hAnsi="Titillium" w:cs="Calibri"/>
          <w:sz w:val="18"/>
          <w:szCs w:val="18"/>
        </w:rPr>
      </w:pPr>
      <w:r w:rsidRPr="0000590E">
        <w:rPr>
          <w:rFonts w:ascii="Titillium" w:hAnsi="Titillium" w:cs="Calibri"/>
          <w:b/>
          <w:i/>
          <w:sz w:val="18"/>
          <w:szCs w:val="18"/>
        </w:rPr>
        <w:t xml:space="preserve">[Se richiesti </w:t>
      </w:r>
      <w:r w:rsidRPr="00700292">
        <w:rPr>
          <w:rFonts w:ascii="Titillium" w:hAnsi="Titillium" w:cs="Calibri"/>
          <w:b/>
          <w:i/>
          <w:sz w:val="18"/>
          <w:szCs w:val="18"/>
        </w:rPr>
        <w:t xml:space="preserve">requisiti di capacità economica e finanziaria/tecnica e professionale di cui ai punti </w:t>
      </w:r>
      <w:r w:rsidRPr="00700292">
        <w:rPr>
          <w:rFonts w:ascii="Titillium" w:hAnsi="Titillium" w:cs="Calibri"/>
          <w:b/>
          <w:i/>
          <w:sz w:val="18"/>
          <w:szCs w:val="18"/>
        </w:rPr>
        <w:fldChar w:fldCharType="begin"/>
      </w:r>
      <w:r w:rsidRPr="00700292">
        <w:rPr>
          <w:rFonts w:ascii="Titillium" w:hAnsi="Titillium" w:cs="Calibri"/>
          <w:b/>
          <w:i/>
          <w:sz w:val="18"/>
          <w:szCs w:val="18"/>
        </w:rPr>
        <w:instrText xml:space="preserve"> REF _Ref495411575 \r \h </w:instrText>
      </w:r>
      <w:r>
        <w:rPr>
          <w:rFonts w:ascii="Titillium" w:hAnsi="Titillium" w:cs="Calibri"/>
          <w:b/>
          <w:i/>
          <w:sz w:val="18"/>
          <w:szCs w:val="18"/>
        </w:rPr>
        <w:instrText xml:space="preserve"> \* MERGEFORMAT </w:instrText>
      </w:r>
      <w:r w:rsidRPr="00700292">
        <w:rPr>
          <w:rFonts w:ascii="Titillium" w:hAnsi="Titillium" w:cs="Calibri"/>
          <w:b/>
          <w:i/>
          <w:sz w:val="18"/>
          <w:szCs w:val="18"/>
        </w:rPr>
      </w:r>
      <w:r w:rsidRPr="00700292">
        <w:rPr>
          <w:rFonts w:ascii="Titillium" w:hAnsi="Titillium" w:cs="Calibri"/>
          <w:b/>
          <w:i/>
          <w:sz w:val="18"/>
          <w:szCs w:val="18"/>
        </w:rPr>
        <w:fldChar w:fldCharType="separate"/>
      </w:r>
      <w:r w:rsidRPr="00700292">
        <w:rPr>
          <w:rFonts w:ascii="Titillium" w:hAnsi="Titillium" w:cs="Calibri"/>
          <w:b/>
          <w:i/>
          <w:sz w:val="18"/>
          <w:szCs w:val="18"/>
        </w:rPr>
        <w:t>6.2</w:t>
      </w:r>
      <w:r w:rsidRPr="00700292">
        <w:rPr>
          <w:rFonts w:ascii="Titillium" w:hAnsi="Titillium" w:cs="Calibri"/>
          <w:b/>
          <w:i/>
          <w:sz w:val="18"/>
          <w:szCs w:val="18"/>
        </w:rPr>
        <w:fldChar w:fldCharType="end"/>
      </w:r>
      <w:r w:rsidRPr="00700292">
        <w:rPr>
          <w:rFonts w:ascii="Titillium" w:hAnsi="Titillium" w:cs="Calibri"/>
          <w:b/>
          <w:i/>
          <w:sz w:val="18"/>
          <w:szCs w:val="18"/>
        </w:rPr>
        <w:t xml:space="preserve"> e </w:t>
      </w:r>
      <w:r w:rsidRPr="00700292">
        <w:rPr>
          <w:rFonts w:ascii="Titillium" w:hAnsi="Titillium" w:cs="Calibri"/>
          <w:b/>
          <w:i/>
          <w:sz w:val="18"/>
          <w:szCs w:val="18"/>
        </w:rPr>
        <w:fldChar w:fldCharType="begin"/>
      </w:r>
      <w:r w:rsidRPr="00700292">
        <w:rPr>
          <w:rFonts w:ascii="Titillium" w:hAnsi="Titillium" w:cs="Calibri"/>
          <w:b/>
          <w:i/>
          <w:sz w:val="18"/>
          <w:szCs w:val="18"/>
        </w:rPr>
        <w:instrText xml:space="preserve"> REF _Ref495506173 \r \h </w:instrText>
      </w:r>
      <w:r>
        <w:rPr>
          <w:rFonts w:ascii="Titillium" w:hAnsi="Titillium" w:cs="Calibri"/>
          <w:b/>
          <w:i/>
          <w:sz w:val="18"/>
          <w:szCs w:val="18"/>
        </w:rPr>
        <w:instrText xml:space="preserve"> \* MERGEFORMAT </w:instrText>
      </w:r>
      <w:r w:rsidRPr="00700292">
        <w:rPr>
          <w:rFonts w:ascii="Titillium" w:hAnsi="Titillium" w:cs="Calibri"/>
          <w:b/>
          <w:i/>
          <w:sz w:val="18"/>
          <w:szCs w:val="18"/>
        </w:rPr>
      </w:r>
      <w:r w:rsidRPr="00700292">
        <w:rPr>
          <w:rFonts w:ascii="Titillium" w:hAnsi="Titillium" w:cs="Calibri"/>
          <w:b/>
          <w:i/>
          <w:sz w:val="18"/>
          <w:szCs w:val="18"/>
        </w:rPr>
        <w:fldChar w:fldCharType="separate"/>
      </w:r>
      <w:r w:rsidRPr="00700292">
        <w:rPr>
          <w:rFonts w:ascii="Titillium" w:hAnsi="Titillium" w:cs="Calibri"/>
          <w:b/>
          <w:i/>
          <w:sz w:val="18"/>
          <w:szCs w:val="18"/>
        </w:rPr>
        <w:t>6.3</w:t>
      </w:r>
      <w:r w:rsidRPr="00700292">
        <w:rPr>
          <w:rFonts w:ascii="Titillium" w:hAnsi="Titillium" w:cs="Calibri"/>
          <w:b/>
          <w:i/>
          <w:sz w:val="18"/>
          <w:szCs w:val="18"/>
        </w:rPr>
        <w:fldChar w:fldCharType="end"/>
      </w:r>
      <w:r w:rsidRPr="00700292">
        <w:rPr>
          <w:rFonts w:ascii="Titillium" w:hAnsi="Titillium" w:cs="Calibri"/>
          <w:b/>
          <w:i/>
          <w:sz w:val="18"/>
          <w:szCs w:val="18"/>
        </w:rPr>
        <w:t>]</w:t>
      </w:r>
    </w:p>
    <w:p w14:paraId="08F0C300" w14:textId="77777777" w:rsidR="00276DF7" w:rsidRPr="00700292" w:rsidRDefault="00276DF7" w:rsidP="00276DF7">
      <w:pPr>
        <w:shd w:val="clear" w:color="auto" w:fill="F2F2F2" w:themeFill="background1" w:themeFillShade="F2"/>
        <w:spacing w:before="60" w:after="60"/>
        <w:rPr>
          <w:rFonts w:ascii="Titillium" w:hAnsi="Titillium" w:cs="Calibri"/>
          <w:sz w:val="18"/>
          <w:szCs w:val="18"/>
        </w:rPr>
      </w:pPr>
      <w:r w:rsidRPr="00700292">
        <w:rPr>
          <w:rFonts w:ascii="Titillium" w:hAnsi="Titillium" w:cs="Calibri"/>
          <w:sz w:val="18"/>
          <w:szCs w:val="18"/>
        </w:rPr>
        <w:t>I consorzi di cui all’articolo 65, comma 2, lettera b) e c) del Codice, utilizzano i requisiti propri e, nel novero di questi, fanno valere i mezzi nella disponibilità delle consorziate che li costituiscono</w:t>
      </w:r>
      <w:r>
        <w:rPr>
          <w:rFonts w:ascii="Titillium" w:hAnsi="Titillium" w:cs="Calibri"/>
          <w:sz w:val="18"/>
          <w:szCs w:val="18"/>
        </w:rPr>
        <w:t>.</w:t>
      </w:r>
    </w:p>
    <w:p w14:paraId="17757BB8"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700292">
        <w:rPr>
          <w:rFonts w:ascii="Titillium" w:hAnsi="Titillium" w:cs="Calibri"/>
          <w:sz w:val="18"/>
          <w:szCs w:val="18"/>
        </w:rPr>
        <w:t>Per i consorzi di cui</w:t>
      </w:r>
      <w:r w:rsidRPr="0000590E">
        <w:rPr>
          <w:rFonts w:ascii="Titillium" w:hAnsi="Titillium" w:cs="Calibri"/>
          <w:sz w:val="18"/>
          <w:szCs w:val="18"/>
        </w:rPr>
        <w:t xml:space="preserve"> all’articolo 65, comma 2, lett. d) del Codice</w:t>
      </w:r>
      <w:r>
        <w:rPr>
          <w:rFonts w:ascii="Titillium" w:hAnsi="Titillium" w:cs="Calibri"/>
          <w:sz w:val="18"/>
          <w:szCs w:val="18"/>
        </w:rPr>
        <w:t>, i requisiti di capacità tecnica e finanziaria sono computati cumulativamente in capo al consorzio ancorché posseduti dalle singole</w:t>
      </w:r>
      <w:r w:rsidRPr="0000590E">
        <w:rPr>
          <w:rFonts w:ascii="Titillium" w:hAnsi="Titillium" w:cs="Calibri"/>
          <w:sz w:val="18"/>
          <w:szCs w:val="18"/>
        </w:rPr>
        <w:t xml:space="preserve"> consorziate.</w:t>
      </w:r>
    </w:p>
    <w:p w14:paraId="1117F579"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sz w:val="18"/>
        </w:rPr>
        <w:t>Nel caso in cui</w:t>
      </w:r>
      <w:r w:rsidRPr="00FA010F">
        <w:rPr>
          <w:rFonts w:ascii="Titillium" w:hAnsi="Titillium"/>
          <w:sz w:val="18"/>
        </w:rPr>
        <w:t xml:space="preserve"> un </w:t>
      </w:r>
      <w:r>
        <w:rPr>
          <w:rFonts w:ascii="Titillium" w:hAnsi="Titillium"/>
          <w:sz w:val="18"/>
        </w:rPr>
        <w:t>consorzio</w:t>
      </w:r>
      <w:r w:rsidRPr="00FA010F">
        <w:rPr>
          <w:rFonts w:ascii="Titillium" w:hAnsi="Titillium"/>
          <w:sz w:val="18"/>
        </w:rPr>
        <w:t xml:space="preserve"> </w:t>
      </w:r>
      <w:r>
        <w:rPr>
          <w:rFonts w:ascii="Titillium" w:hAnsi="Titillium"/>
          <w:sz w:val="18"/>
        </w:rPr>
        <w:t>abbia estromesso o sostituito una consorziata poiché priva di un requisito di ordine speciale di cui all’articolo 100 del Codice, si valutano le misure adottate ai sensi dell’articolo 97 del Codice al fine di decidere sull’esclusione.</w:t>
      </w:r>
    </w:p>
    <w:p w14:paraId="5F30DC33" w14:textId="77777777" w:rsidR="00276DF7" w:rsidRDefault="00276DF7" w:rsidP="00276DF7">
      <w:pPr>
        <w:pStyle w:val="Titolo2"/>
        <w:numPr>
          <w:ilvl w:val="0"/>
          <w:numId w:val="4"/>
        </w:numPr>
        <w:shd w:val="clear" w:color="auto" w:fill="F2F2F2" w:themeFill="background1" w:themeFillShade="F2"/>
        <w:ind w:left="357" w:hanging="357"/>
      </w:pPr>
      <w:bookmarkStart w:id="1714" w:name="_Toc139549429"/>
      <w:r>
        <w:rPr>
          <w:rFonts w:ascii="Titillium" w:hAnsi="Titillium"/>
          <w:sz w:val="18"/>
          <w:szCs w:val="18"/>
        </w:rPr>
        <w:lastRenderedPageBreak/>
        <w:t>AVVALIMENTO</w:t>
      </w:r>
      <w:bookmarkEnd w:id="1714"/>
      <w:r>
        <w:rPr>
          <w:rFonts w:ascii="Titillium" w:hAnsi="Titillium"/>
          <w:sz w:val="18"/>
          <w:szCs w:val="18"/>
        </w:rPr>
        <w:t xml:space="preserve"> </w:t>
      </w:r>
    </w:p>
    <w:p w14:paraId="707C8809" w14:textId="4E27E8BA" w:rsidR="00276DF7" w:rsidRDefault="00276DF7" w:rsidP="00276DF7">
      <w:pPr>
        <w:shd w:val="clear" w:color="auto" w:fill="F2F2F2" w:themeFill="background1" w:themeFillShade="F2"/>
        <w:tabs>
          <w:tab w:val="left" w:pos="0"/>
        </w:tabs>
        <w:spacing w:before="60" w:after="60"/>
        <w:rPr>
          <w:rFonts w:ascii="Titillium" w:hAnsi="Titillium" w:cs="Calibri"/>
          <w:sz w:val="18"/>
          <w:szCs w:val="18"/>
        </w:rPr>
      </w:pPr>
      <w:r>
        <w:rPr>
          <w:rFonts w:ascii="Titillium" w:hAnsi="Titillium" w:cs="Calibri"/>
          <w:sz w:val="18"/>
          <w:szCs w:val="18"/>
        </w:rPr>
        <w:t xml:space="preserve">Il concorrente può avvalersi di dotazioni tecniche, risorse umane e strumentali messe a disposizione da uno o più operatori economici ausiliari per dimostrare il possesso dei requisiti di ordine speciale di cui al punto </w:t>
      </w:r>
      <w:r>
        <w:rPr>
          <w:rFonts w:ascii="Titillium" w:hAnsi="Titillium" w:cs="Calibri"/>
          <w:sz w:val="18"/>
          <w:szCs w:val="18"/>
        </w:rPr>
        <w:fldChar w:fldCharType="begin"/>
      </w:r>
      <w:r>
        <w:rPr>
          <w:rFonts w:ascii="Titillium" w:hAnsi="Titillium" w:cs="Calibri"/>
          <w:sz w:val="18"/>
          <w:szCs w:val="18"/>
        </w:rPr>
        <w:instrText xml:space="preserve"> REF _Ref497211510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6</w:t>
      </w:r>
      <w:r>
        <w:rPr>
          <w:rFonts w:ascii="Titillium" w:hAnsi="Titillium" w:cs="Calibri"/>
          <w:sz w:val="18"/>
          <w:szCs w:val="18"/>
        </w:rPr>
        <w:fldChar w:fldCharType="end"/>
      </w:r>
      <w:r>
        <w:rPr>
          <w:rFonts w:ascii="Titillium" w:hAnsi="Titillium" w:cs="Calibri"/>
          <w:sz w:val="18"/>
          <w:szCs w:val="18"/>
        </w:rPr>
        <w:t xml:space="preserve"> e/o per </w:t>
      </w:r>
      <w:r w:rsidRPr="00122B2F">
        <w:rPr>
          <w:rFonts w:ascii="Titillium" w:hAnsi="Titillium" w:cs="Calibri"/>
          <w:sz w:val="18"/>
          <w:szCs w:val="18"/>
        </w:rPr>
        <w:t>migliorare la propria offerta</w:t>
      </w:r>
      <w:r>
        <w:rPr>
          <w:rFonts w:ascii="Titillium" w:hAnsi="Titillium" w:cs="Calibri"/>
          <w:sz w:val="18"/>
          <w:szCs w:val="18"/>
        </w:rPr>
        <w:t>.</w:t>
      </w:r>
    </w:p>
    <w:p w14:paraId="747BB69B" w14:textId="77777777" w:rsidR="00276DF7" w:rsidRDefault="00276DF7" w:rsidP="00276DF7">
      <w:pPr>
        <w:shd w:val="clear" w:color="auto" w:fill="F2F2F2" w:themeFill="background1" w:themeFillShade="F2"/>
        <w:tabs>
          <w:tab w:val="left" w:pos="0"/>
        </w:tabs>
        <w:spacing w:before="60" w:after="60"/>
        <w:rPr>
          <w:rFonts w:ascii="Titillium" w:hAnsi="Titillium" w:cs="Calibri"/>
          <w:sz w:val="18"/>
          <w:szCs w:val="18"/>
        </w:rPr>
      </w:pPr>
      <w:r>
        <w:rPr>
          <w:rFonts w:ascii="Titillium" w:hAnsi="Titillium" w:cs="Calibri"/>
          <w:sz w:val="18"/>
          <w:szCs w:val="18"/>
        </w:rPr>
        <w:t>Nel contratto di avvalimento le parti specificano le risorse strumentali e umane che l’ausiliario mette a disposizione del concorrente e indicano se l’avvalimento è finalizzato ad acquisire un requisito di partecipazione o a migliorare l’offerta del concorrente, o se serve ad entrambe le finalità.</w:t>
      </w:r>
    </w:p>
    <w:p w14:paraId="49194388"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2A39BA">
        <w:rPr>
          <w:rFonts w:ascii="Titillium" w:hAnsi="Titillium" w:cs="Calibri"/>
          <w:iCs/>
          <w:sz w:val="18"/>
          <w:szCs w:val="18"/>
        </w:rPr>
        <w:t>Nei casi in cui l’avvalimento sia finalizzato a migliorare l’offerta, non è consentito che alla stessa gara partecipino sia l’ausiliari</w:t>
      </w:r>
      <w:r>
        <w:rPr>
          <w:rFonts w:ascii="Titillium" w:hAnsi="Titillium" w:cs="Calibri"/>
          <w:iCs/>
          <w:sz w:val="18"/>
          <w:szCs w:val="18"/>
        </w:rPr>
        <w:t>o</w:t>
      </w:r>
      <w:r w:rsidRPr="002A39BA">
        <w:rPr>
          <w:rFonts w:ascii="Titillium" w:hAnsi="Titillium" w:cs="Calibri"/>
          <w:iCs/>
          <w:sz w:val="18"/>
          <w:szCs w:val="18"/>
        </w:rPr>
        <w:t xml:space="preserve"> che </w:t>
      </w:r>
      <w:r>
        <w:rPr>
          <w:rFonts w:ascii="Titillium" w:hAnsi="Titillium" w:cs="Calibri"/>
          <w:iCs/>
          <w:sz w:val="18"/>
          <w:szCs w:val="18"/>
        </w:rPr>
        <w:t xml:space="preserve">l’operatore che </w:t>
      </w:r>
      <w:r w:rsidRPr="002A39BA">
        <w:rPr>
          <w:rFonts w:ascii="Titillium" w:hAnsi="Titillium" w:cs="Calibri"/>
          <w:iCs/>
          <w:sz w:val="18"/>
          <w:szCs w:val="18"/>
        </w:rPr>
        <w:t>si avvale delle risorse da quest</w:t>
      </w:r>
      <w:r>
        <w:rPr>
          <w:rFonts w:ascii="Titillium" w:hAnsi="Titillium" w:cs="Calibri"/>
          <w:iCs/>
          <w:sz w:val="18"/>
          <w:szCs w:val="18"/>
        </w:rPr>
        <w:t>o</w:t>
      </w:r>
      <w:r w:rsidRPr="002A39BA">
        <w:rPr>
          <w:rFonts w:ascii="Titillium" w:hAnsi="Titillium" w:cs="Calibri"/>
          <w:iCs/>
          <w:sz w:val="18"/>
          <w:szCs w:val="18"/>
        </w:rPr>
        <w:t xml:space="preserve"> a messe a disposizione, pena l’esclusione di entrambi i soggetti.</w:t>
      </w:r>
    </w:p>
    <w:p w14:paraId="69408F8C" w14:textId="77777777" w:rsidR="00276DF7" w:rsidRPr="006A17FF" w:rsidRDefault="00276DF7" w:rsidP="00276DF7">
      <w:pPr>
        <w:shd w:val="clear" w:color="auto" w:fill="F2F2F2" w:themeFill="background1" w:themeFillShade="F2"/>
        <w:tabs>
          <w:tab w:val="left" w:pos="0"/>
        </w:tabs>
        <w:spacing w:before="60" w:after="60"/>
        <w:rPr>
          <w:rFonts w:ascii="Titillium" w:hAnsi="Titillium" w:cs="Calibri"/>
          <w:sz w:val="18"/>
          <w:szCs w:val="18"/>
        </w:rPr>
      </w:pPr>
      <w:r w:rsidRPr="00672BED">
        <w:rPr>
          <w:rFonts w:ascii="Titillium" w:hAnsi="Titillium" w:cs="Calibri"/>
          <w:sz w:val="18"/>
          <w:szCs w:val="18"/>
        </w:rPr>
        <w:t>Ai sensi dell’articolo 372, comma 4 del codice della crisi di impresa e dell’insolvenza, per la partecipazione alla presente procedura tra il momento del deposito della domanda di cui all’articolo 40 del succitato codice e il momento del deposito del decreto previsto dall'articolo 47 del codice medesimo è sempre necessario l'avvalimento dei requisiti di un altro soggetto. L’avvalimento non è necessario in caso di ammissione al concordato preventivo.</w:t>
      </w:r>
    </w:p>
    <w:p w14:paraId="6CCFD136" w14:textId="77777777" w:rsidR="00276DF7" w:rsidRDefault="00276DF7" w:rsidP="00276DF7">
      <w:pPr>
        <w:shd w:val="clear" w:color="auto" w:fill="F2F2F2" w:themeFill="background1" w:themeFillShade="F2"/>
        <w:spacing w:before="60" w:after="60"/>
      </w:pPr>
      <w:r>
        <w:rPr>
          <w:rFonts w:ascii="Titillium" w:hAnsi="Titillium" w:cs="Calibri"/>
          <w:sz w:val="18"/>
          <w:szCs w:val="18"/>
        </w:rPr>
        <w:t>Il concorrente e l’ausiliario sono responsabili in solido nei confronti della stazione appaltante in relazione alle prestazioni oggetto del contratto.</w:t>
      </w:r>
    </w:p>
    <w:p w14:paraId="7B99FF46" w14:textId="77777777" w:rsidR="00276DF7" w:rsidRPr="006A17FF" w:rsidRDefault="00276DF7" w:rsidP="00276DF7">
      <w:pPr>
        <w:shd w:val="clear" w:color="auto" w:fill="F2F2F2" w:themeFill="background1" w:themeFillShade="F2"/>
        <w:tabs>
          <w:tab w:val="left" w:pos="0"/>
        </w:tabs>
        <w:spacing w:before="60" w:after="60"/>
        <w:rPr>
          <w:rFonts w:ascii="Titillium" w:hAnsi="Titillium" w:cs="Calibri"/>
          <w:sz w:val="18"/>
          <w:szCs w:val="18"/>
        </w:rPr>
      </w:pPr>
      <w:r w:rsidRPr="001030AC">
        <w:rPr>
          <w:rFonts w:ascii="Titillium" w:hAnsi="Titillium" w:cs="Calibri"/>
          <w:sz w:val="18"/>
          <w:szCs w:val="18"/>
        </w:rPr>
        <w:t>Non è consentito l’avvalimento</w:t>
      </w:r>
      <w:r>
        <w:rPr>
          <w:rFonts w:ascii="Titillium" w:hAnsi="Titillium" w:cs="Calibri"/>
          <w:sz w:val="18"/>
          <w:szCs w:val="18"/>
        </w:rPr>
        <w:t xml:space="preserve"> </w:t>
      </w:r>
      <w:r w:rsidRPr="006A17FF">
        <w:rPr>
          <w:rFonts w:ascii="Titillium" w:hAnsi="Titillium" w:cs="Calibri"/>
          <w:sz w:val="18"/>
          <w:szCs w:val="18"/>
        </w:rPr>
        <w:t>per soddisfare</w:t>
      </w:r>
      <w:r>
        <w:rPr>
          <w:rFonts w:ascii="Titillium" w:hAnsi="Titillium" w:cs="Calibri"/>
          <w:sz w:val="18"/>
          <w:szCs w:val="18"/>
        </w:rPr>
        <w:t xml:space="preserve"> </w:t>
      </w:r>
      <w:r w:rsidRPr="001030AC">
        <w:rPr>
          <w:rFonts w:ascii="Titillium" w:hAnsi="Titillium" w:cs="Calibri"/>
          <w:sz w:val="18"/>
          <w:szCs w:val="18"/>
        </w:rPr>
        <w:t xml:space="preserve">i requisiti </w:t>
      </w:r>
      <w:r w:rsidRPr="006A17FF">
        <w:rPr>
          <w:rFonts w:ascii="Titillium" w:hAnsi="Titillium" w:cs="Calibri"/>
          <w:sz w:val="18"/>
          <w:szCs w:val="18"/>
        </w:rPr>
        <w:t>di ordine generale</w:t>
      </w:r>
      <w:r>
        <w:rPr>
          <w:rFonts w:ascii="Titillium" w:hAnsi="Titillium" w:cs="Calibri"/>
          <w:sz w:val="18"/>
          <w:szCs w:val="18"/>
        </w:rPr>
        <w:t xml:space="preserve"> e dell’iscrizione alla Camera di commercio.</w:t>
      </w:r>
    </w:p>
    <w:p w14:paraId="5DE3079B" w14:textId="77777777" w:rsidR="00276DF7" w:rsidRPr="006A17FF" w:rsidRDefault="00276DF7" w:rsidP="00276DF7">
      <w:pPr>
        <w:shd w:val="clear" w:color="auto" w:fill="F2F2F2" w:themeFill="background1" w:themeFillShade="F2"/>
        <w:tabs>
          <w:tab w:val="left" w:pos="0"/>
        </w:tabs>
        <w:spacing w:before="60" w:after="60"/>
        <w:rPr>
          <w:rFonts w:ascii="Titillium" w:hAnsi="Titillium" w:cs="Calibri"/>
          <w:sz w:val="18"/>
          <w:szCs w:val="18"/>
        </w:rPr>
      </w:pPr>
      <w:r w:rsidRPr="00C26CB3">
        <w:rPr>
          <w:rFonts w:ascii="Titillium" w:hAnsi="Titillium" w:cs="Calibri"/>
          <w:b/>
          <w:i/>
          <w:sz w:val="18"/>
          <w:szCs w:val="18"/>
        </w:rPr>
        <w:t>[Se richiesto il requisito relativo all'iscrizione all'Albo nazionale dei gestori ambientali di cui all'articolo 212 del decreto legislativo 3 aprile 2006, n. 152</w:t>
      </w:r>
      <w:r w:rsidRPr="001030AC">
        <w:rPr>
          <w:rFonts w:ascii="Titillium" w:hAnsi="Titillium" w:cs="Calibri"/>
          <w:b/>
          <w:i/>
          <w:sz w:val="18"/>
          <w:szCs w:val="18"/>
        </w:rPr>
        <w:t xml:space="preserve">] </w:t>
      </w:r>
      <w:r w:rsidRPr="001030AC">
        <w:rPr>
          <w:rFonts w:ascii="Titillium" w:hAnsi="Titillium" w:cs="Calibri"/>
          <w:sz w:val="18"/>
          <w:szCs w:val="18"/>
        </w:rPr>
        <w:t>Non è consentito l’avvalimento</w:t>
      </w:r>
      <w:r>
        <w:rPr>
          <w:rFonts w:ascii="Titillium" w:hAnsi="Titillium" w:cs="Calibri"/>
          <w:sz w:val="18"/>
          <w:szCs w:val="18"/>
        </w:rPr>
        <w:t xml:space="preserve"> </w:t>
      </w:r>
      <w:r w:rsidRPr="006A17FF">
        <w:rPr>
          <w:rFonts w:ascii="Titillium" w:hAnsi="Titillium" w:cs="Calibri"/>
          <w:sz w:val="18"/>
          <w:szCs w:val="18"/>
        </w:rPr>
        <w:t>per soddisfare</w:t>
      </w:r>
      <w:r>
        <w:rPr>
          <w:rFonts w:ascii="Titillium" w:hAnsi="Titillium" w:cs="Calibri"/>
          <w:sz w:val="18"/>
          <w:szCs w:val="18"/>
        </w:rPr>
        <w:t xml:space="preserve"> </w:t>
      </w:r>
      <w:r w:rsidRPr="006A17FF">
        <w:rPr>
          <w:rFonts w:ascii="Titillium" w:hAnsi="Titillium" w:cs="Calibri"/>
          <w:sz w:val="18"/>
          <w:szCs w:val="18"/>
        </w:rPr>
        <w:t>il requisito dell'iscrizione all'Albo nazionale dei gestori ambientali.</w:t>
      </w:r>
    </w:p>
    <w:p w14:paraId="69A7A3CA" w14:textId="77777777" w:rsidR="00276DF7" w:rsidRPr="0093796D" w:rsidRDefault="00276DF7" w:rsidP="00276DF7">
      <w:pPr>
        <w:shd w:val="clear" w:color="auto" w:fill="F2F2F2" w:themeFill="background1" w:themeFillShade="F2"/>
        <w:tabs>
          <w:tab w:val="left" w:pos="0"/>
        </w:tabs>
        <w:spacing w:before="60" w:after="60"/>
        <w:rPr>
          <w:rFonts w:ascii="Titillium" w:hAnsi="Titillium" w:cs="Calibri"/>
          <w:sz w:val="18"/>
          <w:szCs w:val="18"/>
        </w:rPr>
      </w:pPr>
      <w:r w:rsidRPr="0093796D">
        <w:rPr>
          <w:rFonts w:ascii="Titillium" w:hAnsi="Titillium" w:cs="Calibri"/>
          <w:b/>
          <w:i/>
          <w:sz w:val="18"/>
          <w:szCs w:val="18"/>
        </w:rPr>
        <w:t>[Se richiesti requisiti relativi ad autorizzazioni o altri titoli abilitativi di cui all’art</w:t>
      </w:r>
      <w:r>
        <w:rPr>
          <w:rFonts w:ascii="Titillium" w:hAnsi="Titillium" w:cs="Calibri"/>
          <w:b/>
          <w:i/>
          <w:sz w:val="18"/>
          <w:szCs w:val="18"/>
        </w:rPr>
        <w:t>icolo</w:t>
      </w:r>
      <w:r w:rsidRPr="0093796D">
        <w:rPr>
          <w:rFonts w:ascii="Titillium" w:hAnsi="Titillium" w:cs="Calibri"/>
          <w:b/>
          <w:i/>
          <w:sz w:val="18"/>
          <w:szCs w:val="18"/>
        </w:rPr>
        <w:t xml:space="preserve"> 100</w:t>
      </w:r>
      <w:r>
        <w:rPr>
          <w:rFonts w:ascii="Titillium" w:hAnsi="Titillium" w:cs="Calibri"/>
          <w:b/>
          <w:i/>
          <w:sz w:val="18"/>
          <w:szCs w:val="18"/>
        </w:rPr>
        <w:t>,</w:t>
      </w:r>
      <w:r w:rsidRPr="0093796D">
        <w:rPr>
          <w:rFonts w:ascii="Titillium" w:hAnsi="Titillium" w:cs="Calibri"/>
          <w:b/>
          <w:i/>
          <w:sz w:val="18"/>
          <w:szCs w:val="18"/>
        </w:rPr>
        <w:t xml:space="preserve"> comma 3</w:t>
      </w:r>
      <w:r>
        <w:rPr>
          <w:rFonts w:ascii="Titillium" w:hAnsi="Titillium" w:cs="Calibri"/>
          <w:b/>
          <w:i/>
          <w:sz w:val="18"/>
          <w:szCs w:val="18"/>
        </w:rPr>
        <w:t>, del Codice</w:t>
      </w:r>
      <w:r w:rsidRPr="0093796D">
        <w:rPr>
          <w:rFonts w:ascii="Titillium" w:hAnsi="Titillium" w:cs="Calibri"/>
          <w:b/>
          <w:i/>
          <w:sz w:val="18"/>
          <w:szCs w:val="18"/>
        </w:rPr>
        <w:t xml:space="preserve">] </w:t>
      </w:r>
      <w:r w:rsidRPr="0093796D">
        <w:rPr>
          <w:rFonts w:ascii="Titillium" w:hAnsi="Titillium" w:cs="Calibri"/>
          <w:sz w:val="18"/>
          <w:szCs w:val="18"/>
        </w:rPr>
        <w:t>Il concorrente può avvalersi di un ausiliario per comprovare il possesso del requisito di cui al punto …. solo se l’ausiliario esegue direttamente la prestazione per cui tale requisito è richiesto. In tal caso, l’ausiliario agisce in qualità di subappaltatore.</w:t>
      </w:r>
    </w:p>
    <w:p w14:paraId="5F437E75" w14:textId="77777777" w:rsidR="00276DF7" w:rsidRPr="006A17FF" w:rsidRDefault="00276DF7" w:rsidP="00276DF7">
      <w:pPr>
        <w:shd w:val="clear" w:color="auto" w:fill="F2F2F2" w:themeFill="background1" w:themeFillShade="F2"/>
        <w:tabs>
          <w:tab w:val="left" w:pos="0"/>
        </w:tabs>
        <w:spacing w:before="60" w:after="60"/>
        <w:rPr>
          <w:rFonts w:ascii="Titillium" w:hAnsi="Titillium" w:cs="Calibri"/>
          <w:sz w:val="18"/>
          <w:szCs w:val="18"/>
        </w:rPr>
      </w:pPr>
      <w:r w:rsidRPr="003E4EEF">
        <w:rPr>
          <w:rFonts w:ascii="Titillium" w:hAnsi="Titillium" w:cs="Calibri"/>
          <w:b/>
          <w:i/>
          <w:sz w:val="18"/>
          <w:szCs w:val="18"/>
        </w:rPr>
        <w:t>[Se richiesti requisiti relativi a titoli di studio e professionali necessari all’esecuzione dell’appalto</w:t>
      </w:r>
      <w:r>
        <w:rPr>
          <w:rFonts w:ascii="Titillium" w:hAnsi="Titillium" w:cs="Calibri"/>
          <w:b/>
          <w:i/>
          <w:sz w:val="18"/>
          <w:szCs w:val="18"/>
        </w:rPr>
        <w:t>]</w:t>
      </w:r>
      <w:r w:rsidRPr="003E4EEF">
        <w:rPr>
          <w:rFonts w:ascii="Titillium" w:hAnsi="Titillium" w:cs="Calibri"/>
          <w:b/>
          <w:i/>
          <w:sz w:val="18"/>
          <w:szCs w:val="18"/>
        </w:rPr>
        <w:t xml:space="preserve"> </w:t>
      </w:r>
      <w:r w:rsidRPr="003E4EEF">
        <w:rPr>
          <w:rFonts w:ascii="Titillium" w:hAnsi="Titillium" w:cs="Calibri"/>
          <w:sz w:val="18"/>
          <w:szCs w:val="18"/>
        </w:rPr>
        <w:t>Il concorrente può avvalersi di un ausiliario per comprovare il possesso del requisito di cui al punto …. solo se l’ausiliario esegue direttamente la prestazione per cui tale requisito è richiesto. In tal caso, l’ausiliario agisce in qualità di subappaltare.</w:t>
      </w:r>
    </w:p>
    <w:p w14:paraId="3B5734EE" w14:textId="77777777" w:rsidR="00276DF7" w:rsidRDefault="00276DF7" w:rsidP="00276DF7">
      <w:pPr>
        <w:shd w:val="clear" w:color="auto" w:fill="F2F2F2" w:themeFill="background1" w:themeFillShade="F2"/>
        <w:spacing w:before="60" w:after="60"/>
        <w:rPr>
          <w:rFonts w:ascii="Titillium" w:hAnsi="Titillium" w:cs="Calibri"/>
          <w:i/>
          <w:sz w:val="18"/>
          <w:szCs w:val="18"/>
        </w:rPr>
      </w:pPr>
      <w:r w:rsidRPr="009F0E0D">
        <w:rPr>
          <w:rFonts w:ascii="Titillium" w:hAnsi="Titillium" w:cs="Calibri"/>
          <w:b/>
          <w:i/>
          <w:sz w:val="18"/>
          <w:szCs w:val="18"/>
        </w:rPr>
        <w:t>[Facoltativo per i servizi o le forniture con operazioni di posa in opera o installazione]</w:t>
      </w:r>
      <w:r w:rsidRPr="009F0E0D">
        <w:rPr>
          <w:rFonts w:ascii="Titillium" w:hAnsi="Titillium" w:cs="Calibri"/>
          <w:b/>
          <w:sz w:val="18"/>
          <w:szCs w:val="18"/>
        </w:rPr>
        <w:t xml:space="preserve"> </w:t>
      </w:r>
      <w:r w:rsidRPr="009F0E0D">
        <w:rPr>
          <w:rFonts w:ascii="Titillium" w:hAnsi="Titillium" w:cs="Calibri"/>
          <w:sz w:val="18"/>
          <w:szCs w:val="18"/>
        </w:rPr>
        <w:t>Ai sensi dell’articolo 104, comma 11</w:t>
      </w:r>
      <w:r>
        <w:rPr>
          <w:rFonts w:ascii="Titillium" w:hAnsi="Titillium" w:cs="Calibri"/>
          <w:sz w:val="18"/>
          <w:szCs w:val="18"/>
        </w:rPr>
        <w:t>,</w:t>
      </w:r>
      <w:r w:rsidRPr="009F0E0D">
        <w:rPr>
          <w:rFonts w:ascii="Titillium" w:hAnsi="Titillium" w:cs="Calibri"/>
          <w:sz w:val="18"/>
          <w:szCs w:val="18"/>
        </w:rPr>
        <w:t xml:space="preserve"> del Codice, i seguenti compiti essenziali: … </w:t>
      </w:r>
      <w:r w:rsidRPr="009F0E0D">
        <w:rPr>
          <w:rFonts w:ascii="Titillium" w:hAnsi="Titillium" w:cs="Calibri"/>
          <w:i/>
          <w:sz w:val="18"/>
          <w:szCs w:val="18"/>
        </w:rPr>
        <w:t>[</w:t>
      </w:r>
      <w:r w:rsidRPr="009F0E0D">
        <w:rPr>
          <w:rFonts w:ascii="Titillium" w:hAnsi="Titillium" w:cs="Calibri"/>
          <w:i/>
          <w:iCs/>
          <w:sz w:val="18"/>
          <w:szCs w:val="18"/>
        </w:rPr>
        <w:t>descrivere i compiti</w:t>
      </w:r>
      <w:r w:rsidRPr="009F0E0D">
        <w:rPr>
          <w:rFonts w:ascii="Titillium" w:hAnsi="Titillium" w:cs="Calibri"/>
          <w:i/>
          <w:sz w:val="18"/>
          <w:szCs w:val="18"/>
        </w:rPr>
        <w:t>]</w:t>
      </w:r>
      <w:r w:rsidRPr="009F0E0D">
        <w:rPr>
          <w:rFonts w:ascii="Titillium" w:hAnsi="Titillium" w:cs="Calibri"/>
          <w:sz w:val="18"/>
          <w:szCs w:val="18"/>
        </w:rPr>
        <w:t xml:space="preserve"> sono direttamente svolti dall’offerente </w:t>
      </w:r>
      <w:r w:rsidRPr="00141178">
        <w:rPr>
          <w:rFonts w:ascii="Titillium" w:hAnsi="Titillium" w:cs="Calibri"/>
          <w:sz w:val="18"/>
          <w:szCs w:val="18"/>
        </w:rPr>
        <w:t>o, nel caso di offerta presentata da un raggruppamento da un partecipante al raggruppamento.</w:t>
      </w:r>
      <w:r>
        <w:rPr>
          <w:rFonts w:ascii="Titillium" w:hAnsi="Titillium" w:cs="Calibri"/>
          <w:i/>
          <w:sz w:val="18"/>
          <w:szCs w:val="18"/>
        </w:rPr>
        <w:t xml:space="preserve"> </w:t>
      </w:r>
    </w:p>
    <w:p w14:paraId="1B9673EB" w14:textId="77777777" w:rsidR="00276DF7" w:rsidRDefault="00276DF7" w:rsidP="00276DF7">
      <w:pPr>
        <w:shd w:val="clear" w:color="auto" w:fill="F2F2F2" w:themeFill="background1" w:themeFillShade="F2"/>
        <w:spacing w:before="60" w:after="60"/>
        <w:rPr>
          <w:rFonts w:ascii="Titillium" w:hAnsi="Titillium" w:cs="Calibri"/>
          <w:sz w:val="18"/>
          <w:szCs w:val="18"/>
        </w:rPr>
      </w:pPr>
    </w:p>
    <w:p w14:paraId="75E9AF99" w14:textId="77777777" w:rsidR="00276DF7" w:rsidRPr="00C26CB3" w:rsidRDefault="00276DF7" w:rsidP="00276DF7">
      <w:pPr>
        <w:shd w:val="clear" w:color="auto" w:fill="F2F2F2" w:themeFill="background1" w:themeFillShade="F2"/>
        <w:spacing w:before="60" w:after="60"/>
        <w:rPr>
          <w:rFonts w:ascii="Titillium" w:hAnsi="Titillium" w:cs="Calibri"/>
          <w:sz w:val="18"/>
          <w:szCs w:val="18"/>
        </w:rPr>
      </w:pPr>
      <w:r w:rsidRPr="001B44C8">
        <w:rPr>
          <w:rFonts w:ascii="Titillium" w:hAnsi="Titillium" w:cs="Calibri"/>
          <w:sz w:val="18"/>
          <w:szCs w:val="18"/>
        </w:rPr>
        <w:t>L’ausiliario deve:</w:t>
      </w:r>
    </w:p>
    <w:p w14:paraId="21026763" w14:textId="77777777" w:rsidR="00276DF7" w:rsidRPr="005533E3" w:rsidRDefault="00276DF7" w:rsidP="00276DF7">
      <w:pPr>
        <w:pStyle w:val="Paragrafoelenco"/>
        <w:numPr>
          <w:ilvl w:val="2"/>
          <w:numId w:val="18"/>
        </w:numPr>
        <w:shd w:val="clear" w:color="auto" w:fill="F2F2F2" w:themeFill="background1" w:themeFillShade="F2"/>
        <w:spacing w:before="60" w:after="60"/>
        <w:ind w:left="709"/>
      </w:pPr>
      <w:r w:rsidRPr="00C26CB3">
        <w:rPr>
          <w:rFonts w:ascii="Titillium" w:hAnsi="Titillium" w:cs="Calibri"/>
          <w:sz w:val="18"/>
          <w:szCs w:val="18"/>
        </w:rPr>
        <w:t xml:space="preserve">possedere i requisiti previsti dall’articolo </w:t>
      </w:r>
      <w:r w:rsidRPr="006A17FF">
        <w:rPr>
          <w:rFonts w:ascii="Titillium" w:hAnsi="Titillium" w:cs="Calibri"/>
          <w:sz w:val="18"/>
          <w:szCs w:val="18"/>
        </w:rPr>
        <w:fldChar w:fldCharType="begin"/>
      </w:r>
      <w:r w:rsidRPr="006A17FF">
        <w:rPr>
          <w:rFonts w:ascii="Titillium" w:hAnsi="Titillium" w:cs="Calibri"/>
          <w:sz w:val="18"/>
          <w:szCs w:val="18"/>
        </w:rPr>
        <w:instrText xml:space="preserve"> REF _Ref128477566 \r \h </w:instrText>
      </w:r>
      <w:r>
        <w:rPr>
          <w:rFonts w:ascii="Titillium" w:hAnsi="Titillium" w:cs="Calibri"/>
          <w:sz w:val="18"/>
          <w:szCs w:val="18"/>
        </w:rPr>
        <w:instrText xml:space="preserve"> \* MERGEFORMAT </w:instrText>
      </w:r>
      <w:r w:rsidRPr="006A17FF">
        <w:rPr>
          <w:rFonts w:ascii="Titillium" w:hAnsi="Titillium" w:cs="Calibri"/>
          <w:sz w:val="18"/>
          <w:szCs w:val="18"/>
        </w:rPr>
      </w:r>
      <w:r w:rsidRPr="006A17FF">
        <w:rPr>
          <w:rFonts w:ascii="Titillium" w:hAnsi="Titillium" w:cs="Calibri"/>
          <w:sz w:val="18"/>
          <w:szCs w:val="18"/>
        </w:rPr>
        <w:fldChar w:fldCharType="separate"/>
      </w:r>
      <w:r>
        <w:rPr>
          <w:rFonts w:ascii="Titillium" w:hAnsi="Titillium" w:cs="Calibri"/>
          <w:sz w:val="18"/>
          <w:szCs w:val="18"/>
        </w:rPr>
        <w:t>5</w:t>
      </w:r>
      <w:r w:rsidRPr="006A17FF">
        <w:rPr>
          <w:rFonts w:ascii="Titillium" w:hAnsi="Titillium" w:cs="Calibri"/>
          <w:sz w:val="18"/>
          <w:szCs w:val="18"/>
        </w:rPr>
        <w:fldChar w:fldCharType="end"/>
      </w:r>
      <w:r>
        <w:rPr>
          <w:rFonts w:ascii="Titillium" w:hAnsi="Titillium" w:cs="Calibri"/>
          <w:sz w:val="18"/>
          <w:szCs w:val="18"/>
        </w:rPr>
        <w:t xml:space="preserve"> </w:t>
      </w:r>
      <w:r w:rsidRPr="005533E3">
        <w:rPr>
          <w:rFonts w:ascii="Titillium" w:hAnsi="Titillium" w:cs="Calibri"/>
          <w:sz w:val="18"/>
          <w:szCs w:val="18"/>
        </w:rPr>
        <w:t>e dichiararli presentando un proprio DGUE, da compilare nelle parti pertinenti;</w:t>
      </w:r>
    </w:p>
    <w:p w14:paraId="7444FC88" w14:textId="77777777" w:rsidR="00276DF7" w:rsidRPr="001B44C8" w:rsidRDefault="00276DF7" w:rsidP="00276DF7">
      <w:pPr>
        <w:pStyle w:val="Paragrafoelenco"/>
        <w:numPr>
          <w:ilvl w:val="2"/>
          <w:numId w:val="18"/>
        </w:numPr>
        <w:shd w:val="clear" w:color="auto" w:fill="F2F2F2" w:themeFill="background1" w:themeFillShade="F2"/>
        <w:spacing w:before="60" w:after="60"/>
        <w:ind w:left="709"/>
      </w:pPr>
      <w:r w:rsidRPr="001B44C8">
        <w:rPr>
          <w:rFonts w:ascii="Titillium" w:hAnsi="Titillium" w:cs="Calibri"/>
          <w:sz w:val="18"/>
          <w:szCs w:val="18"/>
        </w:rPr>
        <w:t xml:space="preserve">possedere i requisiti i di cui all’articolo 6 oggetto di avvalimento e dichiararli nel proprio DGUE, da compilare nelle parti pertinenti; </w:t>
      </w:r>
    </w:p>
    <w:p w14:paraId="1598D6C2" w14:textId="77777777" w:rsidR="00276DF7" w:rsidRPr="006A17FF" w:rsidRDefault="00276DF7" w:rsidP="00276DF7">
      <w:pPr>
        <w:pStyle w:val="Paragrafoelenco"/>
        <w:numPr>
          <w:ilvl w:val="2"/>
          <w:numId w:val="18"/>
        </w:numPr>
        <w:shd w:val="clear" w:color="auto" w:fill="F2F2F2" w:themeFill="background1" w:themeFillShade="F2"/>
        <w:spacing w:before="60" w:after="60"/>
        <w:ind w:left="709"/>
      </w:pPr>
      <w:r w:rsidRPr="006A17FF">
        <w:rPr>
          <w:rFonts w:ascii="Titillium" w:hAnsi="Titillium" w:cs="Calibri"/>
          <w:sz w:val="18"/>
          <w:szCs w:val="18"/>
        </w:rPr>
        <w:t xml:space="preserve">impegnarsi, verso il concorrente </w:t>
      </w:r>
      <w:r>
        <w:rPr>
          <w:rFonts w:ascii="Titillium" w:hAnsi="Titillium" w:cs="Calibri"/>
          <w:sz w:val="18"/>
          <w:szCs w:val="18"/>
        </w:rPr>
        <w:t xml:space="preserve">che si avvale </w:t>
      </w:r>
      <w:r w:rsidRPr="006A17FF">
        <w:rPr>
          <w:rFonts w:ascii="Titillium" w:hAnsi="Titillium" w:cs="Calibri"/>
          <w:sz w:val="18"/>
          <w:szCs w:val="18"/>
        </w:rPr>
        <w:t xml:space="preserve">e verso la stazione appaltante, a mettere a disposizione, per tutta la durata dell’appalto, le risorse </w:t>
      </w:r>
      <w:r>
        <w:rPr>
          <w:rFonts w:ascii="Titillium" w:hAnsi="Titillium" w:cs="Calibri"/>
          <w:sz w:val="18"/>
          <w:szCs w:val="18"/>
        </w:rPr>
        <w:t xml:space="preserve">(riferite a requisiti di partecipazione e/o premiali) </w:t>
      </w:r>
      <w:r w:rsidRPr="006A17FF">
        <w:rPr>
          <w:rFonts w:ascii="Titillium" w:hAnsi="Titillium" w:cs="Calibri"/>
          <w:sz w:val="18"/>
          <w:szCs w:val="18"/>
        </w:rPr>
        <w:t>oggetto di avvalimento</w:t>
      </w:r>
      <w:r>
        <w:rPr>
          <w:rFonts w:ascii="Titillium" w:hAnsi="Titillium" w:cs="Calibri"/>
          <w:sz w:val="18"/>
          <w:szCs w:val="18"/>
        </w:rPr>
        <w:t xml:space="preserve"> </w:t>
      </w:r>
    </w:p>
    <w:p w14:paraId="237392F1" w14:textId="77777777" w:rsidR="00276DF7" w:rsidRDefault="00276DF7" w:rsidP="00276DF7">
      <w:pPr>
        <w:shd w:val="clear" w:color="auto" w:fill="F2F2F2" w:themeFill="background1" w:themeFillShade="F2"/>
        <w:spacing w:before="60" w:after="60"/>
        <w:rPr>
          <w:rFonts w:ascii="Titillium" w:hAnsi="Titillium" w:cs="Calibri"/>
          <w:sz w:val="18"/>
          <w:szCs w:val="18"/>
          <w:highlight w:val="yellow"/>
        </w:rPr>
      </w:pPr>
    </w:p>
    <w:p w14:paraId="23D8DF73" w14:textId="77777777" w:rsidR="00276DF7" w:rsidRPr="0093796D" w:rsidRDefault="00276DF7" w:rsidP="00276DF7">
      <w:pPr>
        <w:shd w:val="clear" w:color="auto" w:fill="F2F2F2" w:themeFill="background1" w:themeFillShade="F2"/>
        <w:spacing w:before="60" w:after="60"/>
        <w:rPr>
          <w:rFonts w:ascii="Titillium" w:hAnsi="Titillium" w:cs="Calibri"/>
          <w:sz w:val="18"/>
          <w:szCs w:val="18"/>
        </w:rPr>
      </w:pPr>
      <w:r w:rsidRPr="0093796D">
        <w:rPr>
          <w:rFonts w:ascii="Titillium" w:hAnsi="Titillium" w:cs="Calibri"/>
          <w:sz w:val="18"/>
          <w:szCs w:val="18"/>
        </w:rPr>
        <w:t>Il concorrente allega alla domanda di partecipazione il contratto di avvalimento, che deve essere nativo digitale e firmato digitalmente dalle parti, nonché le dichiarazioni dell’ausiliario.</w:t>
      </w:r>
    </w:p>
    <w:p w14:paraId="52010595" w14:textId="77777777" w:rsidR="00276DF7" w:rsidRPr="0074473E" w:rsidRDefault="00276DF7" w:rsidP="00276DF7">
      <w:pPr>
        <w:shd w:val="clear" w:color="auto" w:fill="F2F2F2" w:themeFill="background1" w:themeFillShade="F2"/>
        <w:spacing w:before="60" w:after="60"/>
        <w:rPr>
          <w:rFonts w:ascii="Titillium" w:hAnsi="Titillium" w:cs="Calibri"/>
          <w:sz w:val="18"/>
          <w:szCs w:val="18"/>
        </w:rPr>
      </w:pPr>
      <w:r w:rsidRPr="0074473E">
        <w:rPr>
          <w:rFonts w:ascii="Titillium" w:hAnsi="Titillium" w:cs="Calibri"/>
          <w:sz w:val="18"/>
          <w:szCs w:val="18"/>
        </w:rPr>
        <w:t>È sanabile, mediante soccorso istruttorio, la mancata produzione delle dichiarazioni dell’ausiliario.</w:t>
      </w:r>
    </w:p>
    <w:p w14:paraId="0C4017EC" w14:textId="77777777" w:rsidR="00276DF7" w:rsidRPr="006A17FF" w:rsidRDefault="00276DF7" w:rsidP="00276DF7">
      <w:pPr>
        <w:shd w:val="clear" w:color="auto" w:fill="F2F2F2" w:themeFill="background1" w:themeFillShade="F2"/>
        <w:spacing w:before="60" w:after="60"/>
      </w:pPr>
      <w:r w:rsidRPr="0074473E">
        <w:rPr>
          <w:rFonts w:ascii="Titillium" w:hAnsi="Titillium" w:cs="Calibri"/>
          <w:sz w:val="18"/>
          <w:szCs w:val="18"/>
        </w:rPr>
        <w:t>È sanabile, mediante soccorso istruttorio, la mancata produzione del contratto di avvalimento a condizione che il contratto sia stato stipulato prima del termine di presentazione dell’offerta e che tale circostanza sia comprovabile con data certa.</w:t>
      </w:r>
    </w:p>
    <w:p w14:paraId="11E276B4" w14:textId="77777777" w:rsidR="00276DF7" w:rsidRPr="006A17FF" w:rsidRDefault="00276DF7" w:rsidP="00276DF7">
      <w:pPr>
        <w:shd w:val="clear" w:color="auto" w:fill="F2F2F2" w:themeFill="background1" w:themeFillShade="F2"/>
        <w:tabs>
          <w:tab w:val="left" w:pos="0"/>
        </w:tabs>
        <w:spacing w:before="60" w:after="60"/>
        <w:rPr>
          <w:rFonts w:ascii="Titillium" w:hAnsi="Titillium" w:cs="Calibri"/>
          <w:sz w:val="18"/>
          <w:szCs w:val="18"/>
        </w:rPr>
      </w:pPr>
      <w:r w:rsidRPr="00685DD7">
        <w:rPr>
          <w:rFonts w:ascii="Titillium" w:hAnsi="Titillium" w:cs="Calibri"/>
          <w:sz w:val="18"/>
          <w:szCs w:val="18"/>
        </w:rPr>
        <w:t>Non è sanabile la mancata indicazione delle risorse messe a disposizione dall’ausiliario in quanto causa di nullità del contratto di avvalimento.</w:t>
      </w:r>
    </w:p>
    <w:p w14:paraId="37F0932F" w14:textId="77777777" w:rsidR="00276DF7" w:rsidRPr="00182618" w:rsidRDefault="00276DF7" w:rsidP="00276DF7">
      <w:pPr>
        <w:shd w:val="clear" w:color="auto" w:fill="F2F2F2" w:themeFill="background1" w:themeFillShade="F2"/>
        <w:spacing w:before="60" w:after="60"/>
      </w:pPr>
      <w:r w:rsidRPr="00182618">
        <w:rPr>
          <w:rFonts w:ascii="Titillium" w:hAnsi="Titillium" w:cs="Calibri"/>
          <w:sz w:val="18"/>
          <w:szCs w:val="18"/>
        </w:rPr>
        <w:t>Qualora per l’ausiliari</w:t>
      </w:r>
      <w:r>
        <w:rPr>
          <w:rFonts w:ascii="Titillium" w:hAnsi="Titillium" w:cs="Calibri"/>
          <w:sz w:val="18"/>
          <w:szCs w:val="18"/>
        </w:rPr>
        <w:t>o</w:t>
      </w:r>
      <w:r w:rsidRPr="00182618">
        <w:rPr>
          <w:rFonts w:ascii="Titillium" w:hAnsi="Titillium" w:cs="Calibri"/>
          <w:sz w:val="18"/>
          <w:szCs w:val="18"/>
        </w:rPr>
        <w:t xml:space="preserve"> sussistano motivi di esclusione o laddove ess</w:t>
      </w:r>
      <w:r>
        <w:rPr>
          <w:rFonts w:ascii="Titillium" w:hAnsi="Titillium" w:cs="Calibri"/>
          <w:sz w:val="18"/>
          <w:szCs w:val="18"/>
        </w:rPr>
        <w:t>o</w:t>
      </w:r>
      <w:r w:rsidRPr="00182618">
        <w:rPr>
          <w:rFonts w:ascii="Titillium" w:hAnsi="Titillium" w:cs="Calibri"/>
          <w:sz w:val="18"/>
          <w:szCs w:val="18"/>
        </w:rPr>
        <w:t xml:space="preserve"> non soddisfi i </w:t>
      </w:r>
      <w:r>
        <w:rPr>
          <w:rFonts w:ascii="Titillium" w:hAnsi="Titillium" w:cs="Calibri"/>
          <w:sz w:val="18"/>
          <w:szCs w:val="18"/>
        </w:rPr>
        <w:t>requisiti di ordine speciale</w:t>
      </w:r>
      <w:r w:rsidRPr="00182618">
        <w:rPr>
          <w:rFonts w:ascii="Titillium" w:hAnsi="Titillium" w:cs="Calibri"/>
          <w:sz w:val="18"/>
          <w:szCs w:val="18"/>
        </w:rPr>
        <w:t>, il concorrente sostituisce l’ausiliari</w:t>
      </w:r>
      <w:r>
        <w:rPr>
          <w:rFonts w:ascii="Titillium" w:hAnsi="Titillium" w:cs="Calibri"/>
          <w:sz w:val="18"/>
          <w:szCs w:val="18"/>
        </w:rPr>
        <w:t>o</w:t>
      </w:r>
      <w:r w:rsidRPr="00182618">
        <w:rPr>
          <w:rFonts w:ascii="Titillium" w:hAnsi="Titillium" w:cs="Calibri"/>
          <w:sz w:val="18"/>
          <w:szCs w:val="18"/>
        </w:rPr>
        <w:t xml:space="preserve"> entro … </w:t>
      </w:r>
      <w:r w:rsidRPr="00182618">
        <w:rPr>
          <w:rFonts w:ascii="Titillium" w:hAnsi="Titillium" w:cs="Calibri"/>
          <w:i/>
          <w:sz w:val="18"/>
          <w:szCs w:val="18"/>
        </w:rPr>
        <w:t>[indicare il numero dei giorni previsti</w:t>
      </w:r>
      <w:r w:rsidRPr="00182618">
        <w:rPr>
          <w:rFonts w:ascii="Titillium" w:hAnsi="Titillium" w:cs="Calibri"/>
          <w:sz w:val="18"/>
          <w:szCs w:val="18"/>
        </w:rPr>
        <w:t xml:space="preserve">] giorni decorrenti dal ricevimento della richiesta da parte </w:t>
      </w:r>
      <w:r w:rsidRPr="00182618">
        <w:rPr>
          <w:rFonts w:ascii="Titillium" w:hAnsi="Titillium" w:cs="Calibri"/>
          <w:sz w:val="18"/>
          <w:szCs w:val="18"/>
        </w:rPr>
        <w:lastRenderedPageBreak/>
        <w:t xml:space="preserve">della stazione appaltante. Contestualmente il concorrente produce i documenti richiesti per l’avvalimento. </w:t>
      </w:r>
    </w:p>
    <w:p w14:paraId="234B49F8" w14:textId="77777777" w:rsidR="00276DF7" w:rsidRDefault="00276DF7" w:rsidP="00276DF7">
      <w:pPr>
        <w:shd w:val="clear" w:color="auto" w:fill="F2F2F2" w:themeFill="background1" w:themeFillShade="F2"/>
        <w:tabs>
          <w:tab w:val="left" w:pos="0"/>
        </w:tabs>
        <w:spacing w:before="60" w:after="60"/>
      </w:pPr>
      <w:r w:rsidRPr="00E31D10">
        <w:rPr>
          <w:rFonts w:ascii="Titillium" w:hAnsi="Titillium" w:cs="Calibri"/>
          <w:sz w:val="18"/>
          <w:szCs w:val="18"/>
        </w:rPr>
        <w:t xml:space="preserve">Nel caso in cui </w:t>
      </w:r>
      <w:r>
        <w:rPr>
          <w:rFonts w:ascii="Titillium" w:hAnsi="Titillium" w:cs="Calibri"/>
          <w:sz w:val="18"/>
          <w:szCs w:val="18"/>
        </w:rPr>
        <w:t>l’</w:t>
      </w:r>
      <w:r w:rsidRPr="00E31D10">
        <w:rPr>
          <w:rFonts w:ascii="Titillium" w:hAnsi="Titillium" w:cs="Calibri"/>
          <w:sz w:val="18"/>
          <w:szCs w:val="18"/>
        </w:rPr>
        <w:t>ausiliari</w:t>
      </w:r>
      <w:r>
        <w:rPr>
          <w:rFonts w:ascii="Titillium" w:hAnsi="Titillium" w:cs="Calibri"/>
          <w:sz w:val="18"/>
          <w:szCs w:val="18"/>
        </w:rPr>
        <w:t>o</w:t>
      </w:r>
      <w:r w:rsidRPr="00E31D10">
        <w:rPr>
          <w:rFonts w:ascii="Titillium" w:hAnsi="Titillium" w:cs="Calibri"/>
          <w:sz w:val="18"/>
          <w:szCs w:val="18"/>
        </w:rPr>
        <w:t xml:space="preserve"> si sia res</w:t>
      </w:r>
      <w:r>
        <w:rPr>
          <w:rFonts w:ascii="Titillium" w:hAnsi="Titillium" w:cs="Calibri"/>
          <w:sz w:val="18"/>
          <w:szCs w:val="18"/>
        </w:rPr>
        <w:t>o</w:t>
      </w:r>
      <w:r w:rsidRPr="00E31D10">
        <w:rPr>
          <w:rFonts w:ascii="Titillium" w:hAnsi="Titillium" w:cs="Calibri"/>
          <w:sz w:val="18"/>
          <w:szCs w:val="18"/>
        </w:rPr>
        <w:t xml:space="preserve"> responsabile di una falsa dichiarazione sul possesso dei requisiti, la stazione appaltante procede </w:t>
      </w:r>
      <w:r>
        <w:rPr>
          <w:rFonts w:ascii="Titillium" w:hAnsi="Titillium" w:cs="Calibri"/>
          <w:sz w:val="18"/>
          <w:szCs w:val="18"/>
        </w:rPr>
        <w:t>a segnalare</w:t>
      </w:r>
      <w:r w:rsidRPr="00E31D10">
        <w:rPr>
          <w:rFonts w:ascii="Titillium" w:hAnsi="Titillium" w:cs="Calibri"/>
          <w:sz w:val="18"/>
          <w:szCs w:val="18"/>
        </w:rPr>
        <w:t xml:space="preserve"> all’</w:t>
      </w:r>
      <w:r>
        <w:rPr>
          <w:rFonts w:ascii="Titillium" w:hAnsi="Titillium" w:cs="Calibri"/>
          <w:sz w:val="18"/>
          <w:szCs w:val="18"/>
        </w:rPr>
        <w:t>A</w:t>
      </w:r>
      <w:r w:rsidRPr="00E31D10">
        <w:rPr>
          <w:rFonts w:ascii="Titillium" w:hAnsi="Titillium" w:cs="Calibri"/>
          <w:sz w:val="18"/>
          <w:szCs w:val="18"/>
        </w:rPr>
        <w:t xml:space="preserve">utorità </w:t>
      </w:r>
      <w:r>
        <w:rPr>
          <w:rFonts w:ascii="Titillium" w:hAnsi="Titillium" w:cs="Calibri"/>
          <w:sz w:val="18"/>
          <w:szCs w:val="18"/>
        </w:rPr>
        <w:t xml:space="preserve">nazionale anticorruzione </w:t>
      </w:r>
      <w:r w:rsidRPr="00E31D10">
        <w:rPr>
          <w:rFonts w:ascii="Titillium" w:hAnsi="Titillium" w:cs="Calibri"/>
          <w:sz w:val="18"/>
          <w:szCs w:val="18"/>
        </w:rPr>
        <w:t>il comportamento tenuto dall’ausiliari</w:t>
      </w:r>
      <w:r>
        <w:rPr>
          <w:rFonts w:ascii="Titillium" w:hAnsi="Titillium" w:cs="Calibri"/>
          <w:sz w:val="18"/>
          <w:szCs w:val="18"/>
        </w:rPr>
        <w:t>o</w:t>
      </w:r>
      <w:r w:rsidRPr="00E31D10">
        <w:rPr>
          <w:rFonts w:ascii="Titillium" w:hAnsi="Titillium" w:cs="Calibri"/>
          <w:sz w:val="18"/>
          <w:szCs w:val="18"/>
        </w:rPr>
        <w:t xml:space="preserve"> per consentire le valutazioni di cui all’articolo 96, comma 15</w:t>
      </w:r>
      <w:r>
        <w:rPr>
          <w:rFonts w:ascii="Titillium" w:hAnsi="Titillium" w:cs="Calibri"/>
          <w:sz w:val="18"/>
          <w:szCs w:val="18"/>
        </w:rPr>
        <w:t>, del Codice</w:t>
      </w:r>
      <w:r w:rsidRPr="00E31D10">
        <w:rPr>
          <w:rFonts w:ascii="Titillium" w:hAnsi="Titillium" w:cs="Calibri"/>
          <w:sz w:val="18"/>
          <w:szCs w:val="18"/>
        </w:rPr>
        <w:t xml:space="preserve">. L’operatore economico può indicare </w:t>
      </w:r>
      <w:r>
        <w:rPr>
          <w:rFonts w:ascii="Titillium" w:hAnsi="Titillium" w:cs="Calibri"/>
          <w:sz w:val="18"/>
          <w:szCs w:val="18"/>
        </w:rPr>
        <w:t xml:space="preserve">un </w:t>
      </w:r>
      <w:r w:rsidRPr="00E31D10">
        <w:rPr>
          <w:rFonts w:ascii="Titillium" w:hAnsi="Titillium" w:cs="Calibri"/>
          <w:sz w:val="18"/>
          <w:szCs w:val="18"/>
        </w:rPr>
        <w:t>altr</w:t>
      </w:r>
      <w:r>
        <w:rPr>
          <w:rFonts w:ascii="Titillium" w:hAnsi="Titillium" w:cs="Calibri"/>
          <w:sz w:val="18"/>
          <w:szCs w:val="18"/>
        </w:rPr>
        <w:t>o</w:t>
      </w:r>
      <w:r w:rsidRPr="00E31D10">
        <w:rPr>
          <w:rFonts w:ascii="Titillium" w:hAnsi="Titillium" w:cs="Calibri"/>
          <w:sz w:val="18"/>
          <w:szCs w:val="18"/>
        </w:rPr>
        <w:t xml:space="preserve"> ausiliari</w:t>
      </w:r>
      <w:r>
        <w:rPr>
          <w:rFonts w:ascii="Titillium" w:hAnsi="Titillium" w:cs="Calibri"/>
          <w:sz w:val="18"/>
          <w:szCs w:val="18"/>
        </w:rPr>
        <w:t>o</w:t>
      </w:r>
      <w:r w:rsidRPr="00E31D10">
        <w:rPr>
          <w:rFonts w:ascii="Titillium" w:hAnsi="Titillium" w:cs="Calibri"/>
          <w:sz w:val="18"/>
          <w:szCs w:val="18"/>
        </w:rPr>
        <w:t xml:space="preserve"> nel termine di dieci giorni, pena l’esclusione dalla gara. La sostituzione può essere effettuata soltanto nel caso in cui non conduca a una modifica sostanziale dell’offerta. Il mancato rispetto del termine assegnato per la sostituzione comporta l’esclusione del concorrente.</w:t>
      </w:r>
    </w:p>
    <w:p w14:paraId="1A61650B" w14:textId="77777777" w:rsidR="00276DF7" w:rsidRDefault="00276DF7" w:rsidP="00276DF7">
      <w:pPr>
        <w:pStyle w:val="Titolo2"/>
        <w:numPr>
          <w:ilvl w:val="0"/>
          <w:numId w:val="4"/>
        </w:numPr>
        <w:shd w:val="clear" w:color="auto" w:fill="F2F2F2" w:themeFill="background1" w:themeFillShade="F2"/>
        <w:ind w:left="357" w:hanging="357"/>
      </w:pPr>
      <w:bookmarkStart w:id="1715" w:name="_Toc406058375"/>
      <w:bookmarkStart w:id="1716" w:name="_Toc403471269"/>
      <w:bookmarkStart w:id="1717" w:name="_Toc397422862"/>
      <w:bookmarkStart w:id="1718" w:name="_Toc397346821"/>
      <w:bookmarkStart w:id="1719" w:name="_Toc393706906"/>
      <w:bookmarkStart w:id="1720" w:name="_Toc393700833"/>
      <w:bookmarkStart w:id="1721" w:name="_Toc393283174"/>
      <w:bookmarkStart w:id="1722" w:name="_Toc393272658"/>
      <w:bookmarkStart w:id="1723" w:name="_Toc393272600"/>
      <w:bookmarkStart w:id="1724" w:name="_Toc393187844"/>
      <w:bookmarkStart w:id="1725" w:name="_Toc393112127"/>
      <w:bookmarkStart w:id="1726" w:name="_Toc393110563"/>
      <w:bookmarkStart w:id="1727" w:name="_Toc392577496"/>
      <w:bookmarkStart w:id="1728" w:name="_Toc391036055"/>
      <w:bookmarkStart w:id="1729" w:name="_Toc391035982"/>
      <w:bookmarkStart w:id="1730" w:name="_Toc380501869"/>
      <w:bookmarkStart w:id="1731" w:name="_Toc354038180"/>
      <w:bookmarkStart w:id="1732" w:name="_Toc416423361"/>
      <w:bookmarkStart w:id="1733" w:name="_Toc406754176"/>
      <w:bookmarkStart w:id="1734" w:name="_Toc139549430"/>
      <w:r>
        <w:rPr>
          <w:rFonts w:ascii="Titillium" w:hAnsi="Titillium"/>
          <w:sz w:val="18"/>
          <w:szCs w:val="18"/>
        </w:rPr>
        <w:t>SUBAPPALTO</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256E2872"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Il concorrente indica le prestazioni che intende subappaltare o concedere in cottimo. In caso di mancata indicazione il subappalto </w:t>
      </w:r>
      <w:r w:rsidRPr="00291685">
        <w:rPr>
          <w:rFonts w:ascii="Titillium" w:hAnsi="Titillium" w:cs="Calibri"/>
          <w:sz w:val="18"/>
          <w:szCs w:val="18"/>
        </w:rPr>
        <w:t>è vietato.</w:t>
      </w:r>
      <w:r>
        <w:rPr>
          <w:rFonts w:ascii="Titillium" w:hAnsi="Titillium" w:cs="Calibri"/>
          <w:sz w:val="18"/>
          <w:szCs w:val="18"/>
        </w:rPr>
        <w:t xml:space="preserve"> </w:t>
      </w:r>
    </w:p>
    <w:p w14:paraId="0E1261E7"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Non può essere affidata in subappalto l’integrale esecuzione delle prestazioni oggetto del contratto </w:t>
      </w:r>
      <w:r w:rsidRPr="00675EF0">
        <w:rPr>
          <w:rFonts w:ascii="Titillium" w:hAnsi="Titillium" w:cs="Calibri"/>
          <w:b/>
          <w:i/>
          <w:sz w:val="18"/>
          <w:szCs w:val="18"/>
        </w:rPr>
        <w:t>[</w:t>
      </w:r>
      <w:r>
        <w:rPr>
          <w:rFonts w:ascii="Titillium" w:hAnsi="Titillium" w:cs="Calibri"/>
          <w:b/>
          <w:i/>
          <w:sz w:val="18"/>
          <w:szCs w:val="18"/>
        </w:rPr>
        <w:t>n</w:t>
      </w:r>
      <w:r w:rsidRPr="00A059A3">
        <w:rPr>
          <w:rFonts w:ascii="Titillium" w:hAnsi="Titillium" w:cs="Calibri"/>
          <w:b/>
          <w:i/>
          <w:sz w:val="18"/>
          <w:szCs w:val="18"/>
        </w:rPr>
        <w:t>el caso di contratti aventi ad oggetto servizi ad alta intensità di manodopera</w:t>
      </w:r>
      <w:r>
        <w:rPr>
          <w:rFonts w:ascii="Titillium" w:hAnsi="Titillium" w:cs="Calibri"/>
          <w:b/>
          <w:i/>
          <w:sz w:val="18"/>
          <w:szCs w:val="18"/>
        </w:rPr>
        <w:t>, aggiungere</w:t>
      </w:r>
      <w:r w:rsidRPr="00675EF0">
        <w:rPr>
          <w:rFonts w:ascii="Titillium" w:hAnsi="Titillium" w:cs="Calibri"/>
          <w:b/>
          <w:i/>
          <w:sz w:val="18"/>
          <w:szCs w:val="18"/>
        </w:rPr>
        <w:t>]</w:t>
      </w:r>
      <w:r w:rsidRPr="00D4022F">
        <w:rPr>
          <w:rFonts w:ascii="Titillium" w:hAnsi="Titillium" w:cs="Calibri"/>
          <w:sz w:val="18"/>
          <w:szCs w:val="18"/>
        </w:rPr>
        <w:t xml:space="preserve"> </w:t>
      </w:r>
      <w:r w:rsidRPr="003E4EEF">
        <w:rPr>
          <w:rFonts w:ascii="Titillium" w:hAnsi="Titillium" w:cs="Calibri"/>
          <w:sz w:val="18"/>
          <w:szCs w:val="18"/>
        </w:rPr>
        <w:t>nonché la prevalente esecuzione delle medesime</w:t>
      </w:r>
      <w:r w:rsidRPr="00D4022F">
        <w:rPr>
          <w:rFonts w:ascii="Titillium" w:hAnsi="Titillium" w:cs="Calibri"/>
          <w:sz w:val="18"/>
          <w:szCs w:val="18"/>
        </w:rPr>
        <w:t>.</w:t>
      </w:r>
    </w:p>
    <w:p w14:paraId="72428F24" w14:textId="77777777" w:rsidR="00276DF7" w:rsidRPr="0062004E" w:rsidRDefault="00276DF7" w:rsidP="00276DF7">
      <w:pPr>
        <w:shd w:val="clear" w:color="auto" w:fill="F2F2F2" w:themeFill="background1" w:themeFillShade="F2"/>
        <w:spacing w:before="60" w:after="60"/>
        <w:rPr>
          <w:rFonts w:ascii="Titillium" w:hAnsi="Titillium" w:cs="Calibri"/>
          <w:sz w:val="18"/>
          <w:szCs w:val="18"/>
        </w:rPr>
      </w:pPr>
      <w:r w:rsidRPr="00A059A3">
        <w:rPr>
          <w:rFonts w:ascii="Titillium" w:hAnsi="Titillium" w:cs="Calibri"/>
          <w:b/>
          <w:i/>
          <w:sz w:val="18"/>
          <w:szCs w:val="18"/>
        </w:rPr>
        <w:t>[</w:t>
      </w:r>
      <w:r>
        <w:rPr>
          <w:rFonts w:ascii="Titillium" w:hAnsi="Titillium" w:cs="Calibri"/>
          <w:b/>
          <w:i/>
          <w:sz w:val="18"/>
          <w:szCs w:val="18"/>
        </w:rPr>
        <w:t>Facoltativo, nel caso in cui</w:t>
      </w:r>
      <w:r w:rsidRPr="00A059A3">
        <w:rPr>
          <w:rFonts w:ascii="Titillium" w:hAnsi="Titillium" w:cs="Calibri"/>
          <w:b/>
          <w:i/>
          <w:sz w:val="18"/>
          <w:szCs w:val="18"/>
        </w:rPr>
        <w:t xml:space="preserve"> </w:t>
      </w:r>
      <w:r>
        <w:rPr>
          <w:rFonts w:ascii="Titillium" w:hAnsi="Titillium" w:cs="Calibri"/>
          <w:b/>
          <w:i/>
          <w:sz w:val="18"/>
          <w:szCs w:val="18"/>
        </w:rPr>
        <w:t>l</w:t>
      </w:r>
      <w:r w:rsidRPr="00A059A3">
        <w:rPr>
          <w:rFonts w:ascii="Titillium" w:hAnsi="Titillium" w:cs="Calibri"/>
          <w:b/>
          <w:i/>
          <w:sz w:val="18"/>
          <w:szCs w:val="18"/>
        </w:rPr>
        <w:t>a stazione appaltante intend</w:t>
      </w:r>
      <w:r>
        <w:rPr>
          <w:rFonts w:ascii="Titillium" w:hAnsi="Titillium" w:cs="Calibri"/>
          <w:b/>
          <w:i/>
          <w:sz w:val="18"/>
          <w:szCs w:val="18"/>
        </w:rPr>
        <w:t>a</w:t>
      </w:r>
      <w:r w:rsidRPr="00A059A3">
        <w:rPr>
          <w:rFonts w:ascii="Titillium" w:hAnsi="Titillium" w:cs="Calibri"/>
          <w:b/>
          <w:i/>
          <w:sz w:val="18"/>
          <w:szCs w:val="18"/>
        </w:rPr>
        <w:t xml:space="preserve"> riservare</w:t>
      </w:r>
      <w:r>
        <w:rPr>
          <w:rFonts w:ascii="Titillium" w:hAnsi="Titillium" w:cs="Calibri"/>
          <w:b/>
          <w:i/>
          <w:sz w:val="18"/>
          <w:szCs w:val="18"/>
        </w:rPr>
        <w:t>, previa motivazione della decisione a contrarre,</w:t>
      </w:r>
      <w:r w:rsidRPr="00A059A3">
        <w:rPr>
          <w:rFonts w:ascii="Titillium" w:hAnsi="Titillium" w:cs="Calibri"/>
          <w:b/>
          <w:i/>
          <w:sz w:val="18"/>
          <w:szCs w:val="18"/>
        </w:rPr>
        <w:t xml:space="preserve"> una o più prestazioni all’affidatari</w:t>
      </w:r>
      <w:r>
        <w:rPr>
          <w:rFonts w:ascii="Titillium" w:hAnsi="Titillium" w:cs="Calibri"/>
          <w:b/>
          <w:i/>
          <w:sz w:val="18"/>
          <w:szCs w:val="18"/>
        </w:rPr>
        <w:t xml:space="preserve">o </w:t>
      </w:r>
      <w:r w:rsidRPr="00A059A3">
        <w:rPr>
          <w:rFonts w:ascii="Titillium" w:hAnsi="Titillium" w:cs="Calibri"/>
          <w:b/>
          <w:i/>
          <w:sz w:val="18"/>
          <w:szCs w:val="18"/>
        </w:rPr>
        <w:t>in ragione delle caratteristiche delle prestazioni oggetto dell’appalto</w:t>
      </w:r>
      <w:r>
        <w:rPr>
          <w:rFonts w:ascii="Titillium" w:hAnsi="Titillium" w:cs="Calibri"/>
          <w:b/>
          <w:i/>
          <w:sz w:val="18"/>
          <w:szCs w:val="18"/>
        </w:rPr>
        <w:t>, dell’esigenza di garantire una più intensa tutela delle condizioni di lavoro e della salute e sicurezza sul lavoro ovvero di prevenire il rischio di infiltrazioni mafiose]</w:t>
      </w:r>
      <w:r w:rsidRPr="00D4022F">
        <w:rPr>
          <w:rFonts w:ascii="Titillium" w:hAnsi="Titillium" w:cs="Calibri"/>
          <w:sz w:val="18"/>
          <w:szCs w:val="18"/>
        </w:rPr>
        <w:t xml:space="preserve"> L’affidatario deve eseguire direttamente le seguenti prestazioni:</w:t>
      </w:r>
      <w:r>
        <w:rPr>
          <w:rFonts w:ascii="Titillium" w:hAnsi="Titillium" w:cs="Calibri"/>
          <w:sz w:val="18"/>
          <w:szCs w:val="18"/>
        </w:rPr>
        <w:t xml:space="preserve"> </w:t>
      </w:r>
      <w:r w:rsidRPr="0062004E">
        <w:rPr>
          <w:rFonts w:ascii="Titillium" w:hAnsi="Titillium" w:cs="Calibri"/>
          <w:sz w:val="18"/>
          <w:szCs w:val="18"/>
        </w:rPr>
        <w:t xml:space="preserve">… </w:t>
      </w:r>
      <w:r w:rsidRPr="0062004E">
        <w:rPr>
          <w:rFonts w:ascii="Titillium" w:hAnsi="Titillium" w:cs="Calibri"/>
          <w:i/>
          <w:sz w:val="18"/>
          <w:szCs w:val="18"/>
        </w:rPr>
        <w:t>[indicare quali]</w:t>
      </w:r>
      <w:r w:rsidRPr="0062004E">
        <w:rPr>
          <w:rFonts w:ascii="Titillium" w:hAnsi="Titillium" w:cs="Calibri"/>
          <w:sz w:val="18"/>
          <w:szCs w:val="18"/>
        </w:rPr>
        <w:t>.</w:t>
      </w:r>
      <w:r>
        <w:rPr>
          <w:rFonts w:ascii="Titillium" w:hAnsi="Titillium" w:cs="Calibri"/>
          <w:sz w:val="18"/>
          <w:szCs w:val="18"/>
        </w:rPr>
        <w:t xml:space="preserve"> Ciò in ragione dell’esigenza di garantire … [</w:t>
      </w:r>
      <w:r>
        <w:rPr>
          <w:rFonts w:ascii="Titillium" w:hAnsi="Titillium" w:cs="Calibri"/>
          <w:i/>
          <w:sz w:val="18"/>
          <w:szCs w:val="18"/>
        </w:rPr>
        <w:t>indicare le motivazioni</w:t>
      </w:r>
      <w:r>
        <w:rPr>
          <w:rFonts w:ascii="Titillium" w:hAnsi="Titillium" w:cs="Calibri"/>
          <w:sz w:val="18"/>
          <w:szCs w:val="18"/>
        </w:rPr>
        <w:t>].</w:t>
      </w:r>
    </w:p>
    <w:p w14:paraId="7E7A4911" w14:textId="77777777" w:rsidR="00276DF7" w:rsidRPr="0062004E" w:rsidRDefault="00276DF7" w:rsidP="00276DF7">
      <w:pPr>
        <w:shd w:val="clear" w:color="auto" w:fill="F2F2F2" w:themeFill="background1" w:themeFillShade="F2"/>
        <w:spacing w:before="60" w:after="60"/>
        <w:rPr>
          <w:rFonts w:ascii="Titillium" w:hAnsi="Titillium" w:cs="Calibri"/>
          <w:sz w:val="18"/>
          <w:szCs w:val="18"/>
        </w:rPr>
      </w:pPr>
      <w:r w:rsidRPr="00A059A3">
        <w:rPr>
          <w:rFonts w:ascii="Titillium" w:hAnsi="Titillium" w:cs="Calibri"/>
          <w:b/>
          <w:i/>
          <w:sz w:val="18"/>
          <w:szCs w:val="18"/>
        </w:rPr>
        <w:t>[</w:t>
      </w:r>
      <w:r>
        <w:rPr>
          <w:rFonts w:ascii="Titillium" w:hAnsi="Titillium" w:cs="Calibri"/>
          <w:b/>
          <w:i/>
          <w:sz w:val="18"/>
          <w:szCs w:val="18"/>
        </w:rPr>
        <w:t>Facoltativo, nel caso in cui</w:t>
      </w:r>
      <w:r w:rsidRPr="00A059A3">
        <w:rPr>
          <w:rFonts w:ascii="Titillium" w:hAnsi="Titillium" w:cs="Calibri"/>
          <w:b/>
          <w:i/>
          <w:sz w:val="18"/>
          <w:szCs w:val="18"/>
        </w:rPr>
        <w:t xml:space="preserve"> </w:t>
      </w:r>
      <w:r>
        <w:rPr>
          <w:rFonts w:ascii="Titillium" w:hAnsi="Titillium" w:cs="Calibri"/>
          <w:b/>
          <w:i/>
          <w:sz w:val="18"/>
          <w:szCs w:val="18"/>
        </w:rPr>
        <w:t>l</w:t>
      </w:r>
      <w:r w:rsidRPr="00A059A3">
        <w:rPr>
          <w:rFonts w:ascii="Titillium" w:hAnsi="Titillium" w:cs="Calibri"/>
          <w:b/>
          <w:i/>
          <w:sz w:val="18"/>
          <w:szCs w:val="18"/>
        </w:rPr>
        <w:t>a stazione appaltante</w:t>
      </w:r>
      <w:r w:rsidRPr="00044072">
        <w:t xml:space="preserve"> </w:t>
      </w:r>
      <w:r w:rsidRPr="00044072">
        <w:rPr>
          <w:rFonts w:ascii="Titillium" w:hAnsi="Titillium" w:cs="Calibri"/>
          <w:b/>
          <w:i/>
          <w:sz w:val="18"/>
          <w:szCs w:val="18"/>
        </w:rPr>
        <w:t>intend</w:t>
      </w:r>
      <w:r>
        <w:rPr>
          <w:rFonts w:ascii="Titillium" w:hAnsi="Titillium" w:cs="Calibri"/>
          <w:b/>
          <w:i/>
          <w:sz w:val="18"/>
          <w:szCs w:val="18"/>
        </w:rPr>
        <w:t>a vietare il subappalto a cascata in determinate prestazioni, i</w:t>
      </w:r>
      <w:r w:rsidRPr="00A059A3">
        <w:rPr>
          <w:rFonts w:ascii="Titillium" w:hAnsi="Titillium" w:cs="Calibri"/>
          <w:b/>
          <w:i/>
          <w:sz w:val="18"/>
          <w:szCs w:val="18"/>
        </w:rPr>
        <w:t xml:space="preserve">n ragione delle </w:t>
      </w:r>
      <w:r>
        <w:rPr>
          <w:rFonts w:ascii="Titillium" w:hAnsi="Titillium" w:cs="Calibri"/>
          <w:b/>
          <w:i/>
          <w:sz w:val="18"/>
          <w:szCs w:val="18"/>
        </w:rPr>
        <w:t xml:space="preserve">specifiche </w:t>
      </w:r>
      <w:r w:rsidRPr="00A059A3">
        <w:rPr>
          <w:rFonts w:ascii="Titillium" w:hAnsi="Titillium" w:cs="Calibri"/>
          <w:b/>
          <w:i/>
          <w:sz w:val="18"/>
          <w:szCs w:val="18"/>
        </w:rPr>
        <w:t>caratteristiche dell’appalto</w:t>
      </w:r>
      <w:r>
        <w:rPr>
          <w:rFonts w:ascii="Titillium" w:hAnsi="Titillium" w:cs="Calibri"/>
          <w:b/>
          <w:i/>
          <w:sz w:val="18"/>
          <w:szCs w:val="18"/>
        </w:rPr>
        <w:t xml:space="preserve">, dell’esigenza di rafforzare i controllo dei luoghi di lavoro, di garantire una più intensa tutela delle condizioni di lavoro e della salute e sicurezza sul lavoro ovvero di prevenire il rischio di infiltrazioni mafiose]  </w:t>
      </w:r>
      <w:r>
        <w:rPr>
          <w:rFonts w:ascii="Titillium" w:hAnsi="Titillium" w:cs="Calibri"/>
          <w:bCs/>
          <w:iCs/>
          <w:sz w:val="18"/>
          <w:szCs w:val="18"/>
        </w:rPr>
        <w:t>Le seguenti prestazioni possono essere subappaltate ma non possono, a loro volta, essere oggetto di ulteriore subappalto:</w:t>
      </w:r>
      <w:r w:rsidRPr="00257984">
        <w:rPr>
          <w:rFonts w:ascii="Titillium" w:hAnsi="Titillium" w:cs="Calibri"/>
          <w:sz w:val="18"/>
          <w:szCs w:val="18"/>
        </w:rPr>
        <w:t xml:space="preserve"> </w:t>
      </w:r>
      <w:r>
        <w:rPr>
          <w:rFonts w:ascii="Titillium" w:hAnsi="Titillium" w:cs="Calibri"/>
          <w:sz w:val="18"/>
          <w:szCs w:val="18"/>
        </w:rPr>
        <w:t xml:space="preserve">… </w:t>
      </w:r>
      <w:r w:rsidRPr="0036223F">
        <w:rPr>
          <w:rFonts w:ascii="Titillium" w:hAnsi="Titillium" w:cs="Calibri"/>
          <w:i/>
          <w:iCs/>
          <w:sz w:val="18"/>
          <w:szCs w:val="18"/>
        </w:rPr>
        <w:t>[indicare le prestazioni].</w:t>
      </w:r>
      <w:r>
        <w:rPr>
          <w:rFonts w:ascii="Titillium" w:hAnsi="Titillium" w:cs="Calibri"/>
          <w:sz w:val="18"/>
          <w:szCs w:val="18"/>
        </w:rPr>
        <w:t xml:space="preserve"> Ciò in ragione dell’esigenza di garantire … </w:t>
      </w:r>
      <w:r w:rsidRPr="0036223F">
        <w:rPr>
          <w:rFonts w:ascii="Titillium" w:hAnsi="Titillium" w:cs="Calibri"/>
          <w:i/>
          <w:iCs/>
          <w:sz w:val="18"/>
          <w:szCs w:val="18"/>
        </w:rPr>
        <w:t>[indicare le motivazioni].</w:t>
      </w:r>
    </w:p>
    <w:p w14:paraId="34520E15" w14:textId="77777777" w:rsidR="00276DF7" w:rsidRDefault="00276DF7" w:rsidP="00276DF7">
      <w:pPr>
        <w:shd w:val="clear" w:color="auto" w:fill="F2F2F2" w:themeFill="background1" w:themeFillShade="F2"/>
        <w:rPr>
          <w:rFonts w:ascii="Titillium" w:hAnsi="Titillium" w:cs="Calibri"/>
          <w:sz w:val="18"/>
          <w:szCs w:val="18"/>
        </w:rPr>
      </w:pPr>
    </w:p>
    <w:p w14:paraId="4AF30DAD" w14:textId="77777777" w:rsidR="00276DF7" w:rsidRDefault="00276DF7" w:rsidP="00276DF7">
      <w:pPr>
        <w:pBdr>
          <w:top w:val="single" w:sz="4" w:space="1" w:color="000000"/>
          <w:left w:val="single" w:sz="4" w:space="0" w:color="000000"/>
          <w:bottom w:val="single" w:sz="4" w:space="1" w:color="000000"/>
          <w:right w:val="single" w:sz="4" w:space="4" w:color="000000"/>
        </w:pBdr>
        <w:shd w:val="clear" w:color="auto" w:fill="F2F2F2" w:themeFill="background1" w:themeFillShade="F2"/>
        <w:spacing w:before="60" w:after="60"/>
        <w:rPr>
          <w:rFonts w:ascii="Titillium" w:hAnsi="Titillium" w:cs="Calibri"/>
          <w:i/>
          <w:sz w:val="18"/>
          <w:szCs w:val="18"/>
          <w:lang w:eastAsia="it-IT"/>
        </w:rPr>
      </w:pPr>
      <w:r>
        <w:rPr>
          <w:rFonts w:ascii="Titillium" w:hAnsi="Titillium" w:cs="Calibri"/>
          <w:i/>
          <w:sz w:val="18"/>
          <w:szCs w:val="18"/>
          <w:lang w:eastAsia="it-IT"/>
        </w:rPr>
        <w:t>N.B. La stazione appaltante prescinde dal valutare eventuali ragioni volte a prevenire il rischio di infiltrazione mafiosa nel caso in cui le imprese subappaltatrici o i subappaltatori ulteriori siano iscritti nelle white list o nell’anagrafe antimafia.</w:t>
      </w:r>
    </w:p>
    <w:p w14:paraId="69607BB7" w14:textId="77777777" w:rsidR="00276DF7" w:rsidRDefault="00276DF7" w:rsidP="00276DF7">
      <w:pPr>
        <w:shd w:val="clear" w:color="auto" w:fill="F2F2F2" w:themeFill="background1" w:themeFillShade="F2"/>
        <w:rPr>
          <w:rFonts w:ascii="Titillium" w:hAnsi="Titillium" w:cs="Calibri"/>
          <w:sz w:val="18"/>
          <w:szCs w:val="18"/>
        </w:rPr>
      </w:pPr>
      <w:r>
        <w:rPr>
          <w:rFonts w:ascii="Titillium" w:hAnsi="Titillium" w:cs="Calibri"/>
          <w:sz w:val="18"/>
          <w:szCs w:val="18"/>
        </w:rPr>
        <w:t>L’aggiudicatario e il subappaltatore sono responsabili in solido nei confronti della stazione appaltante dell’esecuzione delle prestazioni oggetto del contratto di subappalto.</w:t>
      </w:r>
    </w:p>
    <w:p w14:paraId="3576FB77" w14:textId="77777777" w:rsidR="00276DF7" w:rsidRPr="00D90974" w:rsidRDefault="00276DF7" w:rsidP="00276DF7">
      <w:pPr>
        <w:pStyle w:val="Titolo2"/>
        <w:numPr>
          <w:ilvl w:val="0"/>
          <w:numId w:val="4"/>
        </w:numPr>
        <w:shd w:val="clear" w:color="auto" w:fill="F2F2F2" w:themeFill="background1" w:themeFillShade="F2"/>
        <w:ind w:left="357" w:hanging="357"/>
        <w:rPr>
          <w:rFonts w:ascii="Titillium" w:hAnsi="Titillium" w:cs="Calibri"/>
          <w:sz w:val="18"/>
          <w:szCs w:val="18"/>
          <w:lang w:val="it-IT"/>
        </w:rPr>
      </w:pPr>
      <w:bookmarkStart w:id="1735" w:name="_Ref132050689"/>
      <w:bookmarkStart w:id="1736" w:name="_Toc139549431"/>
      <w:bookmarkStart w:id="1737" w:name="_Ref531264739"/>
      <w:bookmarkStart w:id="1738" w:name="_Ref531346857"/>
      <w:bookmarkStart w:id="1739" w:name="_Ref531346843"/>
      <w:r>
        <w:rPr>
          <w:rFonts w:ascii="Titillium" w:hAnsi="Titillium"/>
          <w:sz w:val="18"/>
          <w:szCs w:val="18"/>
          <w:lang w:val="it-IT"/>
        </w:rPr>
        <w:t>REQUISITI DI PARTECIPAZIONE E/O CONDIZIONI DI ESECUZIONE</w:t>
      </w:r>
      <w:bookmarkEnd w:id="1735"/>
      <w:bookmarkEnd w:id="1736"/>
      <w:r>
        <w:rPr>
          <w:rFonts w:ascii="Titillium" w:hAnsi="Titillium"/>
          <w:sz w:val="18"/>
          <w:szCs w:val="18"/>
          <w:lang w:val="it-IT"/>
        </w:rPr>
        <w:t xml:space="preserve"> </w:t>
      </w:r>
    </w:p>
    <w:p w14:paraId="3099D1DC" w14:textId="77777777" w:rsidR="00276DF7" w:rsidRDefault="00276DF7" w:rsidP="00276DF7">
      <w:pPr>
        <w:shd w:val="clear" w:color="auto" w:fill="F2F2F2" w:themeFill="background1" w:themeFillShade="F2"/>
        <w:spacing w:before="60" w:after="60"/>
        <w:rPr>
          <w:rFonts w:ascii="Titillium" w:hAnsi="Titillium"/>
          <w:b/>
          <w:i/>
          <w:sz w:val="18"/>
          <w:szCs w:val="18"/>
        </w:rPr>
      </w:pPr>
      <w:bookmarkStart w:id="1740" w:name="_Toc483571518"/>
      <w:bookmarkStart w:id="1741" w:name="_Toc483474087"/>
      <w:bookmarkStart w:id="1742" w:name="_Toc483401291"/>
      <w:bookmarkStart w:id="1743" w:name="_Toc483325813"/>
      <w:bookmarkStart w:id="1744" w:name="_Toc483316520"/>
      <w:bookmarkStart w:id="1745" w:name="_Toc483316389"/>
      <w:bookmarkStart w:id="1746" w:name="_Toc483316257"/>
      <w:bookmarkStart w:id="1747" w:name="_Toc483316052"/>
      <w:bookmarkStart w:id="1748" w:name="_Toc483302431"/>
      <w:bookmarkStart w:id="1749" w:name="_Toc483233704"/>
      <w:bookmarkStart w:id="1750" w:name="_Toc482979744"/>
      <w:bookmarkStart w:id="1751" w:name="_Toc482979646"/>
      <w:bookmarkStart w:id="1752" w:name="_Toc482979548"/>
      <w:bookmarkStart w:id="1753" w:name="_Toc482979440"/>
      <w:bookmarkStart w:id="1754" w:name="_Toc482979331"/>
      <w:bookmarkStart w:id="1755" w:name="_Toc482979222"/>
      <w:bookmarkStart w:id="1756" w:name="_Toc482979111"/>
      <w:bookmarkStart w:id="1757" w:name="_Toc482979003"/>
      <w:bookmarkStart w:id="1758" w:name="_Toc482978894"/>
      <w:bookmarkStart w:id="1759" w:name="_Toc482959775"/>
      <w:bookmarkStart w:id="1760" w:name="_Toc482959665"/>
      <w:bookmarkStart w:id="1761" w:name="_Toc482959555"/>
      <w:bookmarkStart w:id="1762" w:name="_Toc482712767"/>
      <w:bookmarkStart w:id="1763" w:name="_Toc482641321"/>
      <w:bookmarkStart w:id="1764" w:name="_Toc483907018"/>
      <w:bookmarkStart w:id="1765" w:name="_Toc483571640"/>
      <w:bookmarkStart w:id="1766" w:name="_Hlk138154822"/>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r>
        <w:rPr>
          <w:rFonts w:ascii="Titillium" w:hAnsi="Titillium"/>
          <w:b/>
          <w:i/>
          <w:sz w:val="18"/>
          <w:szCs w:val="18"/>
        </w:rPr>
        <w:t xml:space="preserve">[Tenuto conto </w:t>
      </w:r>
      <w:r w:rsidRPr="00315AE7">
        <w:rPr>
          <w:rFonts w:ascii="Titillium" w:hAnsi="Titillium"/>
          <w:b/>
          <w:i/>
          <w:sz w:val="18"/>
          <w:szCs w:val="18"/>
        </w:rPr>
        <w:t>della tipologia di intervento</w:t>
      </w:r>
      <w:r>
        <w:rPr>
          <w:rFonts w:ascii="Titillium" w:hAnsi="Titillium"/>
          <w:b/>
          <w:i/>
          <w:sz w:val="18"/>
          <w:szCs w:val="18"/>
        </w:rPr>
        <w:t xml:space="preserve">, inserire le seguenti clausole sociali. Non applicabile ai </w:t>
      </w:r>
      <w:r w:rsidRPr="00B309E3">
        <w:rPr>
          <w:rFonts w:ascii="Titillium" w:hAnsi="Titillium"/>
          <w:b/>
          <w:i/>
          <w:sz w:val="18"/>
          <w:szCs w:val="18"/>
        </w:rPr>
        <w:t>servizi di natura intellettuale e</w:t>
      </w:r>
      <w:r>
        <w:rPr>
          <w:rFonts w:ascii="Titillium" w:hAnsi="Titillium"/>
          <w:b/>
          <w:i/>
          <w:sz w:val="18"/>
          <w:szCs w:val="18"/>
        </w:rPr>
        <w:t>d alle</w:t>
      </w:r>
      <w:r w:rsidRPr="00B309E3">
        <w:rPr>
          <w:rFonts w:ascii="Titillium" w:hAnsi="Titillium"/>
          <w:b/>
          <w:i/>
          <w:sz w:val="18"/>
          <w:szCs w:val="18"/>
        </w:rPr>
        <w:t xml:space="preserve"> fornitur</w:t>
      </w:r>
      <w:r>
        <w:rPr>
          <w:rFonts w:ascii="Titillium" w:hAnsi="Titillium"/>
          <w:b/>
          <w:i/>
          <w:sz w:val="18"/>
          <w:szCs w:val="18"/>
        </w:rPr>
        <w:t>e</w:t>
      </w:r>
      <w:r w:rsidRPr="00B309E3">
        <w:rPr>
          <w:rFonts w:ascii="Titillium" w:hAnsi="Titillium"/>
          <w:b/>
          <w:i/>
          <w:sz w:val="18"/>
          <w:szCs w:val="18"/>
        </w:rPr>
        <w:t xml:space="preserve"> senza posa in opera</w:t>
      </w:r>
      <w:r>
        <w:rPr>
          <w:rFonts w:ascii="Titillium" w:hAnsi="Titillium"/>
          <w:b/>
          <w:i/>
          <w:sz w:val="18"/>
          <w:szCs w:val="18"/>
        </w:rPr>
        <w:t xml:space="preserve">] </w:t>
      </w:r>
    </w:p>
    <w:bookmarkEnd w:id="1766"/>
    <w:p w14:paraId="18149F4B" w14:textId="6C180D05" w:rsidR="00276DF7" w:rsidRDefault="00276DF7" w:rsidP="00276DF7">
      <w:pPr>
        <w:shd w:val="clear" w:color="auto" w:fill="F2F2F2" w:themeFill="background1" w:themeFillShade="F2"/>
        <w:spacing w:before="60" w:after="60"/>
        <w:rPr>
          <w:rFonts w:ascii="Titillium" w:hAnsi="Titillium" w:cs="Calibri"/>
          <w:b/>
          <w:sz w:val="18"/>
          <w:szCs w:val="18"/>
        </w:rPr>
      </w:pPr>
      <w:r>
        <w:rPr>
          <w:rFonts w:ascii="Titillium" w:hAnsi="Titillium"/>
          <w:sz w:val="18"/>
          <w:szCs w:val="18"/>
        </w:rPr>
        <w:t>L</w:t>
      </w:r>
      <w:r w:rsidRPr="00CE0ADB">
        <w:rPr>
          <w:rFonts w:ascii="Titillium" w:hAnsi="Titillium" w:cs="Calibri"/>
          <w:sz w:val="18"/>
          <w:szCs w:val="18"/>
        </w:rPr>
        <w:t xml:space="preserve">’aggiudicatario è tenuto </w:t>
      </w:r>
      <w:r>
        <w:rPr>
          <w:rFonts w:ascii="Titillium" w:hAnsi="Titillium" w:cs="Calibri"/>
          <w:sz w:val="18"/>
          <w:szCs w:val="18"/>
        </w:rPr>
        <w:t>a garantire l’applicazione del contratto collettivo nazionale e territoriale (o dei contratti collettivi nazionali</w:t>
      </w:r>
      <w:r w:rsidRPr="00CE0ADB">
        <w:rPr>
          <w:rFonts w:ascii="Titillium" w:hAnsi="Titillium" w:cs="Calibri"/>
          <w:sz w:val="18"/>
          <w:szCs w:val="18"/>
        </w:rPr>
        <w:t xml:space="preserve"> e territoriali di settore</w:t>
      </w:r>
      <w:r>
        <w:rPr>
          <w:rFonts w:ascii="Titillium" w:hAnsi="Titillium" w:cs="Calibri"/>
          <w:sz w:val="18"/>
          <w:szCs w:val="18"/>
        </w:rPr>
        <w:t xml:space="preserve">) di cui al punto </w:t>
      </w:r>
      <w:r>
        <w:rPr>
          <w:rFonts w:ascii="Titillium" w:hAnsi="Titillium" w:cs="Calibri"/>
          <w:sz w:val="18"/>
          <w:szCs w:val="18"/>
        </w:rPr>
        <w:fldChar w:fldCharType="begin"/>
      </w:r>
      <w:r>
        <w:rPr>
          <w:rFonts w:ascii="Titillium" w:hAnsi="Titillium" w:cs="Calibri"/>
          <w:sz w:val="18"/>
          <w:szCs w:val="18"/>
        </w:rPr>
        <w:instrText xml:space="preserve"> REF _Ref132303600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3</w:t>
      </w:r>
      <w:r>
        <w:rPr>
          <w:rFonts w:ascii="Titillium" w:hAnsi="Titillium" w:cs="Calibri"/>
          <w:sz w:val="18"/>
          <w:szCs w:val="18"/>
        </w:rPr>
        <w:fldChar w:fldCharType="end"/>
      </w:r>
      <w:r w:rsidRPr="00CE0ADB">
        <w:rPr>
          <w:rFonts w:ascii="Titillium" w:hAnsi="Titillium" w:cs="Calibri"/>
          <w:sz w:val="18"/>
          <w:szCs w:val="18"/>
        </w:rPr>
        <w:t xml:space="preserve">, </w:t>
      </w:r>
      <w:r>
        <w:rPr>
          <w:rFonts w:ascii="Titillium" w:hAnsi="Titillium" w:cs="Calibri"/>
          <w:sz w:val="18"/>
          <w:szCs w:val="18"/>
        </w:rPr>
        <w:t xml:space="preserve">oppure di un altro contratto che </w:t>
      </w:r>
      <w:r w:rsidRPr="00CE0ADB">
        <w:rPr>
          <w:rFonts w:ascii="Titillium" w:hAnsi="Titillium" w:cs="Calibri"/>
          <w:sz w:val="18"/>
          <w:szCs w:val="18"/>
        </w:rPr>
        <w:t>garanti</w:t>
      </w:r>
      <w:r>
        <w:rPr>
          <w:rFonts w:ascii="Titillium" w:hAnsi="Titillium" w:cs="Calibri"/>
          <w:sz w:val="18"/>
          <w:szCs w:val="18"/>
        </w:rPr>
        <w:t>sca</w:t>
      </w:r>
      <w:r w:rsidRPr="00CE0ADB">
        <w:rPr>
          <w:rFonts w:ascii="Titillium" w:hAnsi="Titillium" w:cs="Calibri"/>
          <w:sz w:val="18"/>
          <w:szCs w:val="18"/>
        </w:rPr>
        <w:t xml:space="preserve"> le stesse tutele economiche e normative per i </w:t>
      </w:r>
      <w:r>
        <w:rPr>
          <w:rFonts w:ascii="Titillium" w:hAnsi="Titillium" w:cs="Calibri"/>
          <w:sz w:val="18"/>
          <w:szCs w:val="18"/>
        </w:rPr>
        <w:t xml:space="preserve">propri lavoratori e per quelli in </w:t>
      </w:r>
      <w:r w:rsidRPr="00CE0ADB">
        <w:rPr>
          <w:rFonts w:ascii="Titillium" w:hAnsi="Titillium" w:cs="Calibri"/>
          <w:sz w:val="18"/>
          <w:szCs w:val="18"/>
        </w:rPr>
        <w:t>subappalto</w:t>
      </w:r>
      <w:r>
        <w:rPr>
          <w:rFonts w:ascii="Titillium" w:hAnsi="Titillium" w:cs="Calibri"/>
          <w:b/>
          <w:sz w:val="18"/>
          <w:szCs w:val="18"/>
        </w:rPr>
        <w:t>.</w:t>
      </w:r>
    </w:p>
    <w:p w14:paraId="6A2FC6D4" w14:textId="77777777" w:rsidR="00276DF7" w:rsidRDefault="00276DF7" w:rsidP="00276DF7">
      <w:pPr>
        <w:shd w:val="clear" w:color="auto" w:fill="F2F2F2" w:themeFill="background1" w:themeFillShade="F2"/>
        <w:rPr>
          <w:rFonts w:ascii="Titillium" w:hAnsi="Titillium"/>
          <w:b/>
          <w:i/>
          <w:sz w:val="18"/>
          <w:szCs w:val="18"/>
        </w:rPr>
      </w:pPr>
    </w:p>
    <w:p w14:paraId="45EB90E7" w14:textId="77777777" w:rsidR="00276DF7" w:rsidRDefault="00276DF7" w:rsidP="00276DF7">
      <w:pPr>
        <w:shd w:val="clear" w:color="auto" w:fill="F2F2F2" w:themeFill="background1" w:themeFillShade="F2"/>
      </w:pPr>
      <w:r>
        <w:rPr>
          <w:rFonts w:ascii="Titillium" w:hAnsi="Titillium"/>
          <w:sz w:val="18"/>
          <w:szCs w:val="18"/>
        </w:rPr>
        <w:t xml:space="preserve">Ferma restando la necessaria armonizzazione con la propria organizzazione e con le esigenze tecnico-organizzative e di manodopera previste nel nuovo contratto, l’aggiudicatario del contratto di appalto è tenuto a garantire la stabilità occupazionale del personale impiegato nel contratto, </w:t>
      </w:r>
      <w:r w:rsidRPr="00023D01">
        <w:rPr>
          <w:rFonts w:ascii="Titillium" w:hAnsi="Titillium"/>
          <w:sz w:val="18"/>
          <w:szCs w:val="18"/>
        </w:rPr>
        <w:t xml:space="preserve">assorbendo </w:t>
      </w:r>
      <w:r w:rsidRPr="00871272">
        <w:rPr>
          <w:rFonts w:ascii="Titillium" w:hAnsi="Titillium"/>
          <w:sz w:val="18"/>
          <w:szCs w:val="18"/>
        </w:rPr>
        <w:t>prioritariamente</w:t>
      </w:r>
      <w:r w:rsidRPr="00023D01">
        <w:rPr>
          <w:rFonts w:ascii="Titillium" w:hAnsi="Titillium"/>
          <w:sz w:val="18"/>
          <w:szCs w:val="18"/>
        </w:rPr>
        <w:t xml:space="preserve"> nel</w:t>
      </w:r>
      <w:r>
        <w:rPr>
          <w:rFonts w:ascii="Titillium" w:hAnsi="Titillium"/>
          <w:sz w:val="18"/>
          <w:szCs w:val="18"/>
        </w:rPr>
        <w:t xml:space="preserve"> proprio organico il personale già operante alle dipendenze dell’aggiudicatario uscente, garantendo le stesse tutele del CCNL indicato al punto 3 </w:t>
      </w:r>
      <w:r>
        <w:rPr>
          <w:rFonts w:ascii="Titillium" w:hAnsi="Titillium"/>
          <w:b/>
          <w:i/>
          <w:sz w:val="18"/>
          <w:szCs w:val="18"/>
        </w:rPr>
        <w:t>[In alternativa, nel caso in cui siano cambiate le condizioni di esecuzione dell’appalto]</w:t>
      </w:r>
      <w:r>
        <w:rPr>
          <w:rFonts w:ascii="Titillium" w:hAnsi="Titillium"/>
          <w:sz w:val="18"/>
          <w:szCs w:val="18"/>
        </w:rPr>
        <w:t xml:space="preserve"> Considerato che sono cambiate le condizioni di esecuzione dell’appalto rispetto all’appalto stipulato con l’operatore uscente, il personale da riassorbire è definito in esito ad una verifica congiunta con appaltatore e sindacati.</w:t>
      </w:r>
    </w:p>
    <w:p w14:paraId="7922B83E" w14:textId="77777777" w:rsidR="00276DF7" w:rsidRDefault="00276DF7" w:rsidP="00276DF7">
      <w:pPr>
        <w:shd w:val="clear" w:color="auto" w:fill="F2F2F2" w:themeFill="background1" w:themeFillShade="F2"/>
        <w:rPr>
          <w:rFonts w:ascii="Titillium" w:hAnsi="Titillium"/>
          <w:sz w:val="18"/>
          <w:szCs w:val="18"/>
        </w:rPr>
      </w:pPr>
    </w:p>
    <w:p w14:paraId="440329EB" w14:textId="77777777" w:rsidR="00276DF7" w:rsidRDefault="00276DF7" w:rsidP="00276DF7">
      <w:pPr>
        <w:shd w:val="clear" w:color="auto" w:fill="F2F2F2" w:themeFill="background1" w:themeFillShade="F2"/>
        <w:rPr>
          <w:rFonts w:ascii="Titillium" w:hAnsi="Titillium"/>
          <w:sz w:val="18"/>
          <w:szCs w:val="18"/>
        </w:rPr>
      </w:pPr>
      <w:r>
        <w:rPr>
          <w:rFonts w:ascii="Titillium" w:hAnsi="Titillium"/>
          <w:sz w:val="18"/>
          <w:szCs w:val="18"/>
        </w:rPr>
        <w:t xml:space="preserve">L’elenco e i dati relativi al personale attualmente impiegato dal contraente uscente per l’esecuzione del contratto sono riportati nel ... … </w:t>
      </w:r>
      <w:r w:rsidRPr="000A09BF">
        <w:rPr>
          <w:rFonts w:ascii="Titillium" w:hAnsi="Titillium"/>
          <w:i/>
          <w:iCs/>
          <w:sz w:val="18"/>
          <w:szCs w:val="18"/>
        </w:rPr>
        <w:t xml:space="preserve">[indicare il paragrafo del capitolato o lo specifico documento indicato al punto </w:t>
      </w:r>
      <w:r w:rsidRPr="000A09BF">
        <w:rPr>
          <w:rFonts w:ascii="Titillium" w:hAnsi="Titillium"/>
          <w:i/>
          <w:iCs/>
          <w:sz w:val="18"/>
          <w:szCs w:val="18"/>
        </w:rPr>
        <w:fldChar w:fldCharType="begin"/>
      </w:r>
      <w:r w:rsidRPr="000A09BF">
        <w:rPr>
          <w:rFonts w:ascii="Titillium" w:hAnsi="Titillium"/>
          <w:i/>
          <w:iCs/>
          <w:sz w:val="18"/>
          <w:szCs w:val="18"/>
        </w:rPr>
        <w:instrText xml:space="preserve"> REF _Ref138082059 \r \h </w:instrText>
      </w:r>
      <w:r>
        <w:rPr>
          <w:rFonts w:ascii="Titillium" w:hAnsi="Titillium"/>
          <w:i/>
          <w:iCs/>
          <w:sz w:val="18"/>
          <w:szCs w:val="18"/>
        </w:rPr>
        <w:instrText xml:space="preserve"> \* MERGEFORMAT </w:instrText>
      </w:r>
      <w:r w:rsidRPr="000A09BF">
        <w:rPr>
          <w:rFonts w:ascii="Titillium" w:hAnsi="Titillium"/>
          <w:i/>
          <w:iCs/>
          <w:sz w:val="18"/>
          <w:szCs w:val="18"/>
        </w:rPr>
      </w:r>
      <w:r w:rsidRPr="000A09BF">
        <w:rPr>
          <w:rFonts w:ascii="Titillium" w:hAnsi="Titillium"/>
          <w:i/>
          <w:iCs/>
          <w:sz w:val="18"/>
          <w:szCs w:val="18"/>
        </w:rPr>
        <w:fldChar w:fldCharType="separate"/>
      </w:r>
      <w:r w:rsidRPr="000A09BF">
        <w:rPr>
          <w:rFonts w:ascii="Titillium" w:hAnsi="Titillium"/>
          <w:i/>
          <w:iCs/>
          <w:sz w:val="18"/>
          <w:szCs w:val="18"/>
        </w:rPr>
        <w:t>2.1</w:t>
      </w:r>
      <w:r w:rsidRPr="000A09BF">
        <w:rPr>
          <w:rFonts w:ascii="Titillium" w:hAnsi="Titillium"/>
          <w:i/>
          <w:iCs/>
          <w:sz w:val="18"/>
          <w:szCs w:val="18"/>
        </w:rPr>
        <w:fldChar w:fldCharType="end"/>
      </w:r>
      <w:r w:rsidRPr="000A09BF">
        <w:rPr>
          <w:rFonts w:ascii="Titillium" w:hAnsi="Titillium"/>
          <w:i/>
          <w:iCs/>
          <w:sz w:val="18"/>
          <w:szCs w:val="18"/>
        </w:rPr>
        <w:t>]</w:t>
      </w:r>
      <w:r>
        <w:rPr>
          <w:rFonts w:ascii="Titillium" w:hAnsi="Titillium"/>
          <w:sz w:val="18"/>
          <w:szCs w:val="18"/>
        </w:rPr>
        <w:t xml:space="preserve"> </w:t>
      </w:r>
      <w:r w:rsidRPr="00A407A7">
        <w:rPr>
          <w:rFonts w:ascii="Titillium" w:hAnsi="Titillium"/>
          <w:sz w:val="18"/>
          <w:szCs w:val="18"/>
        </w:rPr>
        <w:t xml:space="preserve">e contiene il numero degli addetti con </w:t>
      </w:r>
      <w:r w:rsidRPr="00A407A7">
        <w:rPr>
          <w:rFonts w:ascii="Titillium" w:hAnsi="Titillium"/>
          <w:sz w:val="18"/>
          <w:szCs w:val="18"/>
        </w:rPr>
        <w:lastRenderedPageBreak/>
        <w:t>indicazione dei lavoratori svantaggiati ai sensi della legge n. 381/91, qualifica, livelli anzianità, sede di lavoro, monte ore, etc</w:t>
      </w:r>
      <w:r>
        <w:rPr>
          <w:rFonts w:ascii="Titillium" w:hAnsi="Titillium"/>
          <w:sz w:val="18"/>
          <w:szCs w:val="18"/>
        </w:rPr>
        <w:t>.</w:t>
      </w:r>
    </w:p>
    <w:p w14:paraId="486BFEE7" w14:textId="77777777" w:rsidR="00276DF7" w:rsidRDefault="00276DF7" w:rsidP="00276DF7">
      <w:pPr>
        <w:shd w:val="clear" w:color="auto" w:fill="F2F2F2" w:themeFill="background1" w:themeFillShade="F2"/>
        <w:spacing w:before="60" w:after="60"/>
        <w:rPr>
          <w:rFonts w:ascii="Titillium" w:hAnsi="Titillium"/>
          <w:b/>
          <w:i/>
          <w:sz w:val="18"/>
          <w:szCs w:val="18"/>
        </w:rPr>
      </w:pPr>
    </w:p>
    <w:p w14:paraId="721EB849" w14:textId="77777777" w:rsidR="00276DF7" w:rsidRDefault="00276DF7" w:rsidP="00276DF7">
      <w:pPr>
        <w:shd w:val="clear" w:color="auto" w:fill="F2F2F2" w:themeFill="background1" w:themeFillShade="F2"/>
        <w:spacing w:after="120"/>
        <w:rPr>
          <w:rFonts w:ascii="Titillium" w:hAnsi="Titillium" w:cs="Arial"/>
          <w:sz w:val="18"/>
          <w:szCs w:val="18"/>
        </w:rPr>
      </w:pPr>
      <w:r w:rsidRPr="00F16718">
        <w:rPr>
          <w:rFonts w:ascii="Titillium" w:hAnsi="Titillium" w:cs="Calibri"/>
          <w:i/>
          <w:sz w:val="18"/>
          <w:szCs w:val="18"/>
        </w:rPr>
        <w:t>[</w:t>
      </w:r>
      <w:r w:rsidRPr="00F16718">
        <w:rPr>
          <w:rFonts w:ascii="Titillium" w:hAnsi="Titillium" w:cs="Arial"/>
          <w:b/>
          <w:bCs/>
          <w:i/>
          <w:sz w:val="18"/>
          <w:szCs w:val="18"/>
        </w:rPr>
        <w:t xml:space="preserve">Per le procedure di gara </w:t>
      </w:r>
      <w:r>
        <w:rPr>
          <w:rFonts w:ascii="Titillium" w:hAnsi="Titillium" w:cs="Arial"/>
          <w:b/>
          <w:bCs/>
          <w:i/>
          <w:sz w:val="18"/>
          <w:szCs w:val="18"/>
        </w:rPr>
        <w:t xml:space="preserve">riservate ai sensi dell’articolo 61 del codice e/o per quelle </w:t>
      </w:r>
      <w:r w:rsidRPr="00F16718">
        <w:rPr>
          <w:rFonts w:ascii="Titillium" w:hAnsi="Titillium" w:cs="Arial"/>
          <w:b/>
          <w:bCs/>
          <w:i/>
          <w:sz w:val="18"/>
          <w:szCs w:val="18"/>
        </w:rPr>
        <w:t xml:space="preserve">afferenti </w:t>
      </w:r>
      <w:r>
        <w:rPr>
          <w:rFonts w:ascii="Titillium" w:hAnsi="Titillium" w:cs="Arial"/>
          <w:b/>
          <w:bCs/>
          <w:i/>
          <w:sz w:val="18"/>
          <w:szCs w:val="18"/>
        </w:rPr>
        <w:t>a</w:t>
      </w:r>
      <w:r w:rsidRPr="00F16718">
        <w:rPr>
          <w:rFonts w:ascii="Titillium" w:hAnsi="Titillium" w:cs="Arial"/>
          <w:b/>
          <w:bCs/>
          <w:i/>
          <w:sz w:val="18"/>
          <w:szCs w:val="18"/>
        </w:rPr>
        <w:t xml:space="preserve">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F16718">
        <w:rPr>
          <w:rFonts w:ascii="Titillium" w:hAnsi="Titillium" w:cs="Courier New"/>
          <w:b/>
          <w:i/>
          <w:sz w:val="18"/>
          <w:szCs w:val="18"/>
        </w:rPr>
        <w:t>decreto legge 31 maggio 2021, n. 77, convertito, con modificazioni, dalla legge 29 luglio 2021, n. 108, indicare le seguenti condizioni di esecuzione</w:t>
      </w:r>
      <w:r w:rsidRPr="00F16718">
        <w:rPr>
          <w:rFonts w:ascii="Titillium" w:hAnsi="Titillium" w:cs="Arial"/>
          <w:sz w:val="18"/>
          <w:szCs w:val="18"/>
        </w:rPr>
        <w:t>]</w:t>
      </w:r>
    </w:p>
    <w:p w14:paraId="1F90B697" w14:textId="77777777" w:rsidR="00276DF7" w:rsidRPr="009F0EE6" w:rsidRDefault="00276DF7" w:rsidP="00276DF7">
      <w:pPr>
        <w:shd w:val="clear" w:color="auto" w:fill="F2F2F2" w:themeFill="background1" w:themeFillShade="F2"/>
        <w:spacing w:after="120"/>
        <w:rPr>
          <w:rFonts w:ascii="Titillium" w:hAnsi="Titillium" w:cs="Arial"/>
          <w:b/>
          <w:bCs/>
          <w:i/>
          <w:sz w:val="18"/>
          <w:szCs w:val="18"/>
        </w:rPr>
      </w:pPr>
      <w:r w:rsidRPr="009F0EE6">
        <w:rPr>
          <w:rFonts w:ascii="Titillium" w:hAnsi="Titillium" w:cs="Calibri"/>
          <w:sz w:val="18"/>
          <w:szCs w:val="18"/>
        </w:rPr>
        <w:t xml:space="preserve">Il concorrente si impegna, </w:t>
      </w:r>
      <w:r w:rsidRPr="009F0EE6">
        <w:rPr>
          <w:rFonts w:ascii="Titillium" w:hAnsi="Titillium" w:cs="Calibri"/>
          <w:sz w:val="18"/>
          <w:szCs w:val="18"/>
          <w:u w:val="single"/>
        </w:rPr>
        <w:t>a pena di esclusione</w:t>
      </w:r>
      <w:r w:rsidRPr="009F0EE6">
        <w:rPr>
          <w:rFonts w:ascii="Titillium" w:hAnsi="Titillium" w:cs="Arial"/>
          <w:sz w:val="18"/>
          <w:szCs w:val="18"/>
        </w:rPr>
        <w:t>, in caso di aggiudicazione del contratto, ad assicurare:</w:t>
      </w:r>
    </w:p>
    <w:p w14:paraId="0DB99241" w14:textId="77777777" w:rsidR="00276DF7" w:rsidRPr="009F0EE6" w:rsidRDefault="00276DF7" w:rsidP="00276DF7">
      <w:pPr>
        <w:pStyle w:val="Paragrafoelenco"/>
        <w:widowControl w:val="0"/>
        <w:numPr>
          <w:ilvl w:val="0"/>
          <w:numId w:val="48"/>
        </w:numPr>
        <w:shd w:val="clear" w:color="auto" w:fill="F2F2F2" w:themeFill="background1" w:themeFillShade="F2"/>
        <w:ind w:left="851" w:hanging="426"/>
        <w:rPr>
          <w:rFonts w:ascii="Titillium" w:hAnsi="Titillium" w:cs="Arial"/>
          <w:sz w:val="18"/>
          <w:szCs w:val="18"/>
        </w:rPr>
      </w:pPr>
      <w:r w:rsidRPr="009F0EE6">
        <w:rPr>
          <w:rFonts w:ascii="Titillium" w:hAnsi="Titillium" w:cs="Arial"/>
          <w:sz w:val="18"/>
          <w:szCs w:val="18"/>
        </w:rPr>
        <w:t>una quota pari al …per cento</w:t>
      </w:r>
      <w:r>
        <w:rPr>
          <w:rFonts w:ascii="Titillium" w:hAnsi="Titillium" w:cs="Arial"/>
          <w:sz w:val="18"/>
          <w:szCs w:val="18"/>
        </w:rPr>
        <w:t xml:space="preserve"> delle assunzioni necessarie </w:t>
      </w:r>
      <w:r w:rsidRPr="00D874D7">
        <w:rPr>
          <w:rFonts w:ascii="Titillium" w:hAnsi="Titillium" w:cs="Arial"/>
          <w:i/>
          <w:iCs/>
          <w:sz w:val="18"/>
          <w:szCs w:val="18"/>
        </w:rPr>
        <w:t>[indicare la quota percentuale scelta]</w:t>
      </w:r>
      <w:r w:rsidRPr="009F0EE6">
        <w:rPr>
          <w:rFonts w:ascii="Titillium" w:hAnsi="Titillium" w:cs="Arial"/>
          <w:sz w:val="18"/>
          <w:szCs w:val="18"/>
        </w:rPr>
        <w:t xml:space="preserve"> di occupazione giovanile</w:t>
      </w:r>
    </w:p>
    <w:p w14:paraId="232C8176" w14:textId="77777777" w:rsidR="00276DF7" w:rsidRPr="009F0EE6" w:rsidRDefault="00276DF7" w:rsidP="00276DF7">
      <w:pPr>
        <w:pStyle w:val="Paragrafoelenco"/>
        <w:widowControl w:val="0"/>
        <w:numPr>
          <w:ilvl w:val="0"/>
          <w:numId w:val="48"/>
        </w:numPr>
        <w:shd w:val="clear" w:color="auto" w:fill="F2F2F2" w:themeFill="background1" w:themeFillShade="F2"/>
        <w:ind w:left="851" w:hanging="426"/>
        <w:rPr>
          <w:rFonts w:ascii="Titillium" w:hAnsi="Titillium" w:cs="Arial"/>
          <w:sz w:val="18"/>
          <w:szCs w:val="18"/>
        </w:rPr>
      </w:pPr>
      <w:r w:rsidRPr="009F0EE6">
        <w:rPr>
          <w:rFonts w:ascii="Titillium" w:hAnsi="Titillium" w:cs="Arial"/>
          <w:sz w:val="18"/>
          <w:szCs w:val="18"/>
        </w:rPr>
        <w:t xml:space="preserve">una quota pari al … per cento </w:t>
      </w:r>
      <w:r>
        <w:rPr>
          <w:rFonts w:ascii="Titillium" w:hAnsi="Titillium" w:cs="Arial"/>
          <w:sz w:val="18"/>
          <w:szCs w:val="18"/>
        </w:rPr>
        <w:t xml:space="preserve">delle assunzioni necessarie </w:t>
      </w:r>
      <w:r w:rsidRPr="00D874D7">
        <w:rPr>
          <w:rFonts w:ascii="Titillium" w:hAnsi="Titillium" w:cs="Arial"/>
          <w:i/>
          <w:iCs/>
          <w:sz w:val="18"/>
          <w:szCs w:val="18"/>
        </w:rPr>
        <w:t>[indicare la quota percentuale scelta]</w:t>
      </w:r>
      <w:r w:rsidRPr="009F0EE6">
        <w:rPr>
          <w:rFonts w:ascii="Titillium" w:hAnsi="Titillium" w:cs="Arial"/>
          <w:sz w:val="18"/>
          <w:szCs w:val="18"/>
        </w:rPr>
        <w:t xml:space="preserve"> di occupazione femminile</w:t>
      </w:r>
    </w:p>
    <w:p w14:paraId="7D6F4808" w14:textId="77777777" w:rsidR="00276DF7" w:rsidRPr="009F0EE6" w:rsidRDefault="00276DF7" w:rsidP="00276DF7">
      <w:pPr>
        <w:widowControl w:val="0"/>
        <w:shd w:val="clear" w:color="auto" w:fill="F2F2F2" w:themeFill="background1" w:themeFillShade="F2"/>
        <w:rPr>
          <w:rFonts w:ascii="Titillium" w:hAnsi="Titillium" w:cs="Calibri"/>
          <w:sz w:val="18"/>
          <w:szCs w:val="18"/>
        </w:rPr>
      </w:pPr>
      <w:r>
        <w:rPr>
          <w:rFonts w:ascii="Titillium" w:hAnsi="Titillium" w:cs="Arial"/>
          <w:i/>
          <w:sz w:val="18"/>
          <w:szCs w:val="18"/>
        </w:rPr>
        <w:t>[l</w:t>
      </w:r>
      <w:r w:rsidRPr="009F0EE6">
        <w:rPr>
          <w:rFonts w:ascii="Titillium" w:hAnsi="Titillium" w:cs="Arial"/>
          <w:i/>
          <w:sz w:val="18"/>
          <w:szCs w:val="18"/>
        </w:rPr>
        <w:t>a quota percentuale scelta, deve essere almeno pari al 30 per cento</w:t>
      </w:r>
      <w:r w:rsidRPr="009F0EE6">
        <w:rPr>
          <w:rFonts w:ascii="Titillium" w:hAnsi="Titillium" w:cs="Arial"/>
          <w:sz w:val="18"/>
          <w:szCs w:val="18"/>
        </w:rPr>
        <w:t xml:space="preserve">, ovvero </w:t>
      </w:r>
      <w:r w:rsidRPr="009F0EE6">
        <w:rPr>
          <w:rFonts w:ascii="Titillium" w:hAnsi="Titillium" w:cs="Arial"/>
          <w:i/>
          <w:sz w:val="18"/>
          <w:szCs w:val="18"/>
        </w:rPr>
        <w:t>inferiore; in tal caso le stazioni appaltanti motivano le ragioni della deroga, richiamando espressamente la determina a contrarre o l’atto immediatamente esecutivo della stessa ovvero l’atto espresso del responsabile della stazione appaltante adottato prima o contestualmente all'avvio della procedura ad evidenza pubblica, contenenti adeguata e specifica motivazione della deroga</w:t>
      </w:r>
      <w:r w:rsidRPr="00D874D7">
        <w:rPr>
          <w:rFonts w:ascii="Titillium" w:hAnsi="Titillium" w:cs="Arial"/>
          <w:i/>
          <w:iCs/>
          <w:sz w:val="18"/>
          <w:szCs w:val="18"/>
        </w:rPr>
        <w:t xml:space="preserve">] </w:t>
      </w:r>
      <w:r w:rsidRPr="009F0EE6">
        <w:rPr>
          <w:rFonts w:ascii="Titillium" w:hAnsi="Titillium" w:cs="Arial"/>
          <w:sz w:val="18"/>
          <w:szCs w:val="18"/>
        </w:rPr>
        <w:t xml:space="preserve">delle assunzioni necessarie per l'esecuzione del contratto o per la realizzazione di attività ad esso connesse o strumentali </w:t>
      </w:r>
      <w:r w:rsidRPr="00D874D7">
        <w:rPr>
          <w:rFonts w:ascii="Titillium" w:hAnsi="Titillium" w:cs="Arial"/>
          <w:i/>
          <w:iCs/>
          <w:sz w:val="18"/>
          <w:szCs w:val="18"/>
        </w:rPr>
        <w:t xml:space="preserve">[calcolate secondo le modalità di cui alle </w:t>
      </w:r>
      <w:r w:rsidRPr="00C57666">
        <w:rPr>
          <w:rFonts w:ascii="Titillium" w:hAnsi="Titillium" w:cs="Arial"/>
          <w:i/>
          <w:iCs/>
          <w:sz w:val="18"/>
          <w:szCs w:val="18"/>
        </w:rPr>
        <w:t xml:space="preserve">linee </w:t>
      </w:r>
      <w:r w:rsidRPr="009F0EE6">
        <w:rPr>
          <w:rFonts w:ascii="Titillium" w:hAnsi="Titillium" w:cs="Arial"/>
          <w:i/>
          <w:sz w:val="18"/>
          <w:szCs w:val="18"/>
        </w:rPr>
        <w:t xml:space="preserve">guida approvate con Decreto ministeriale della Presidenza del Consiglio dei Ministri, Dipartimento delle pari opportunità, del 7 dicembre 2021 (Adozione delle linee guida volte a favorire la pari opportunità di genere e generazionali, nonché l'inclusione lavorativa delle persone con disabilità nei contratti pubblici finanziati con le risorse del PNRR e del PNC), pubblicato nella Gazzetta Ufficiale del 30 </w:t>
      </w:r>
      <w:r w:rsidRPr="00C57666">
        <w:rPr>
          <w:rFonts w:ascii="Titillium" w:hAnsi="Titillium" w:cs="Arial"/>
          <w:i/>
          <w:sz w:val="18"/>
          <w:szCs w:val="18"/>
        </w:rPr>
        <w:t>dicembre 2021</w:t>
      </w:r>
      <w:r w:rsidRPr="00D874D7">
        <w:rPr>
          <w:rFonts w:ascii="Titillium" w:hAnsi="Titillium" w:cs="Calibri"/>
          <w:i/>
          <w:sz w:val="18"/>
          <w:szCs w:val="18"/>
        </w:rPr>
        <w:t>, n. 309 e delle linee guida adottate ai sensi dell’articolo 1, comma 8, dell’allegato II.3 al codice].</w:t>
      </w:r>
    </w:p>
    <w:p w14:paraId="312B55A4" w14:textId="77777777" w:rsidR="00276DF7" w:rsidRPr="00F16718" w:rsidRDefault="00276DF7" w:rsidP="00276DF7">
      <w:pPr>
        <w:widowControl w:val="0"/>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sidRPr="00F16718">
        <w:rPr>
          <w:rFonts w:ascii="Titillium" w:hAnsi="Titillium" w:cs="Courier New"/>
          <w:sz w:val="18"/>
          <w:szCs w:val="18"/>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r w:rsidRPr="00F16718">
        <w:rPr>
          <w:rFonts w:ascii="Titillium" w:hAnsi="Titillium" w:cs="Calibri"/>
          <w:sz w:val="18"/>
          <w:szCs w:val="18"/>
        </w:rPr>
        <w:t>.</w:t>
      </w:r>
    </w:p>
    <w:p w14:paraId="66813C6F" w14:textId="77777777" w:rsidR="00276DF7" w:rsidRPr="00F16718" w:rsidRDefault="00276DF7" w:rsidP="00276DF7">
      <w:pPr>
        <w:widowControl w:val="0"/>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sidRPr="00F16718">
        <w:rPr>
          <w:rFonts w:ascii="Titillium" w:hAnsi="Titillium" w:cs="Courier New"/>
          <w:sz w:val="18"/>
          <w:szCs w:val="18"/>
        </w:rPr>
        <w:t>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14:paraId="06F84F96" w14:textId="77777777" w:rsidR="00276DF7" w:rsidRDefault="00276DF7" w:rsidP="00276DF7">
      <w:pPr>
        <w:shd w:val="clear" w:color="auto" w:fill="F2F2F2" w:themeFill="background1" w:themeFillShade="F2"/>
        <w:spacing w:before="60" w:after="60"/>
        <w:rPr>
          <w:rFonts w:ascii="Titillium" w:hAnsi="Titillium"/>
          <w:sz w:val="18"/>
          <w:szCs w:val="18"/>
        </w:rPr>
      </w:pPr>
    </w:p>
    <w:p w14:paraId="7F11D81F" w14:textId="77777777" w:rsidR="00276DF7" w:rsidRPr="00D93AD9" w:rsidRDefault="00276DF7" w:rsidP="00276DF7">
      <w:pPr>
        <w:shd w:val="clear" w:color="auto" w:fill="F2F2F2" w:themeFill="background1" w:themeFillShade="F2"/>
        <w:spacing w:before="60" w:after="60"/>
        <w:rPr>
          <w:rFonts w:ascii="Titillium" w:hAnsi="Titillium"/>
          <w:sz w:val="18"/>
          <w:szCs w:val="18"/>
        </w:rPr>
      </w:pPr>
      <w:r w:rsidRPr="009F0EE6">
        <w:rPr>
          <w:rFonts w:ascii="Titillium" w:hAnsi="Titillium"/>
          <w:b/>
          <w:sz w:val="18"/>
          <w:szCs w:val="18"/>
        </w:rPr>
        <w:t>[Per le altre procedure]</w:t>
      </w:r>
      <w:r>
        <w:rPr>
          <w:rFonts w:ascii="Titillium" w:hAnsi="Titillium"/>
          <w:sz w:val="18"/>
          <w:szCs w:val="18"/>
        </w:rPr>
        <w:t xml:space="preserve"> Al fine di garantire le pari opportunità generazionali, di genere e di inclusione lavorativa per le persone con disabilità o svantaggiate, l’aggiudicatario si impegna a … [</w:t>
      </w:r>
      <w:r w:rsidRPr="00D93AD9">
        <w:rPr>
          <w:rFonts w:ascii="Titillium" w:hAnsi="Titillium"/>
          <w:i/>
          <w:sz w:val="18"/>
          <w:szCs w:val="18"/>
        </w:rPr>
        <w:t>le stazioni appaltanti indicano quali misure l’aggiudicatario è tenuto ad adempiere, tenendo conto delle prestazioni oggetto del contratto e del mercato di riferimento</w:t>
      </w:r>
      <w:r>
        <w:rPr>
          <w:rFonts w:ascii="Titillium" w:hAnsi="Titillium"/>
          <w:sz w:val="18"/>
          <w:szCs w:val="18"/>
        </w:rPr>
        <w:t>]</w:t>
      </w:r>
    </w:p>
    <w:p w14:paraId="6A9D2B06" w14:textId="77777777" w:rsidR="00276DF7" w:rsidRDefault="00276DF7" w:rsidP="00276DF7">
      <w:pPr>
        <w:shd w:val="clear" w:color="auto" w:fill="F2F2F2" w:themeFill="background1" w:themeFillShade="F2"/>
        <w:spacing w:before="60" w:after="60"/>
        <w:rPr>
          <w:rFonts w:ascii="Titillium" w:hAnsi="Titillium" w:cs="Calibri"/>
          <w:b/>
          <w:i/>
          <w:sz w:val="18"/>
          <w:szCs w:val="18"/>
        </w:rPr>
      </w:pPr>
    </w:p>
    <w:p w14:paraId="2A88787F" w14:textId="77777777" w:rsidR="00276DF7" w:rsidRDefault="00276DF7" w:rsidP="00276DF7">
      <w:pPr>
        <w:shd w:val="clear" w:color="auto" w:fill="F2F2F2" w:themeFill="background1" w:themeFillShade="F2"/>
        <w:spacing w:before="60" w:after="60"/>
        <w:rPr>
          <w:rFonts w:ascii="Titillium" w:hAnsi="Titillium" w:cs="Calibri"/>
          <w:i/>
          <w:iCs/>
          <w:sz w:val="18"/>
          <w:szCs w:val="18"/>
        </w:rPr>
      </w:pPr>
      <w:r>
        <w:rPr>
          <w:rFonts w:ascii="Titillium" w:hAnsi="Titillium" w:cs="Calibri"/>
          <w:b/>
          <w:i/>
          <w:sz w:val="18"/>
          <w:szCs w:val="18"/>
        </w:rPr>
        <w:t xml:space="preserve">[Se la stazione appaltante richiede </w:t>
      </w:r>
      <w:r w:rsidRPr="00DB6ACC">
        <w:rPr>
          <w:rFonts w:ascii="Titillium" w:hAnsi="Titillium" w:cs="Calibri"/>
          <w:b/>
          <w:i/>
          <w:sz w:val="18"/>
          <w:szCs w:val="18"/>
        </w:rPr>
        <w:t>requisiti particolari per l'esecuzione del contratto</w:t>
      </w:r>
      <w:r>
        <w:rPr>
          <w:rFonts w:ascii="Titillium" w:hAnsi="Titillium" w:cs="Calibri"/>
          <w:b/>
          <w:i/>
          <w:sz w:val="18"/>
          <w:szCs w:val="18"/>
        </w:rPr>
        <w:t xml:space="preserve"> ai sensi dell’articolo 113 del Codice]</w:t>
      </w:r>
      <w:r>
        <w:rPr>
          <w:rFonts w:ascii="Titillium" w:hAnsi="Titillium" w:cs="Calibri"/>
          <w:sz w:val="18"/>
          <w:szCs w:val="18"/>
        </w:rPr>
        <w:t xml:space="preserve"> Per l’esecuzione del servizio/fornitura oggetto del presente appalto, ai sensi dell’articolo 113 del Codice, è richiesto … </w:t>
      </w:r>
      <w:r w:rsidRPr="00DB6ACC">
        <w:rPr>
          <w:rFonts w:ascii="Titillium" w:hAnsi="Titillium" w:cs="Calibri"/>
          <w:i/>
          <w:iCs/>
          <w:sz w:val="18"/>
          <w:szCs w:val="18"/>
        </w:rPr>
        <w:t>[specificare</w:t>
      </w:r>
      <w:r>
        <w:rPr>
          <w:rFonts w:ascii="Titillium" w:hAnsi="Titillium" w:cs="Calibri"/>
          <w:i/>
          <w:iCs/>
          <w:sz w:val="18"/>
          <w:szCs w:val="18"/>
        </w:rPr>
        <w:t xml:space="preserve">]. </w:t>
      </w:r>
    </w:p>
    <w:p w14:paraId="50836884" w14:textId="77777777" w:rsidR="00276DF7" w:rsidRDefault="00276DF7" w:rsidP="00276DF7">
      <w:pPr>
        <w:pStyle w:val="Titolo2"/>
        <w:numPr>
          <w:ilvl w:val="0"/>
          <w:numId w:val="4"/>
        </w:numPr>
        <w:shd w:val="clear" w:color="auto" w:fill="F2F2F2" w:themeFill="background1" w:themeFillShade="F2"/>
        <w:ind w:left="357" w:hanging="357"/>
      </w:pPr>
      <w:bookmarkStart w:id="1767" w:name="_Toc139549432"/>
      <w:r>
        <w:rPr>
          <w:rFonts w:ascii="Titillium" w:hAnsi="Titillium" w:cs="Calibri"/>
          <w:sz w:val="18"/>
          <w:szCs w:val="18"/>
          <w:lang w:val="it-IT"/>
        </w:rPr>
        <w:lastRenderedPageBreak/>
        <w:t>GARANZIA PROVVISOR</w:t>
      </w:r>
      <w:r>
        <w:rPr>
          <w:rFonts w:ascii="Titillium" w:hAnsi="Titillium"/>
          <w:sz w:val="18"/>
          <w:szCs w:val="18"/>
        </w:rPr>
        <w:t>IA</w:t>
      </w:r>
      <w:bookmarkEnd w:id="1737"/>
      <w:bookmarkEnd w:id="1738"/>
      <w:bookmarkEnd w:id="1739"/>
      <w:bookmarkEnd w:id="1767"/>
    </w:p>
    <w:p w14:paraId="5C4D7BA0"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L’offerta </w:t>
      </w:r>
      <w:r>
        <w:rPr>
          <w:rFonts w:ascii="Titillium" w:hAnsi="Titillium" w:cs="Calibri"/>
          <w:i/>
          <w:sz w:val="18"/>
          <w:szCs w:val="18"/>
        </w:rPr>
        <w:t xml:space="preserve">[eventualmente: </w:t>
      </w:r>
      <w:r>
        <w:rPr>
          <w:rFonts w:ascii="Titillium" w:hAnsi="Titillium" w:cs="Calibri"/>
          <w:sz w:val="18"/>
          <w:szCs w:val="18"/>
        </w:rPr>
        <w:t>“per ciascun lotto”</w:t>
      </w:r>
      <w:r>
        <w:rPr>
          <w:rFonts w:ascii="Titillium" w:hAnsi="Titillium" w:cs="Calibri"/>
          <w:i/>
          <w:sz w:val="18"/>
          <w:szCs w:val="18"/>
        </w:rPr>
        <w:t xml:space="preserve">] </w:t>
      </w:r>
      <w:r>
        <w:rPr>
          <w:rFonts w:ascii="Titillium" w:hAnsi="Titillium" w:cs="Calibri"/>
          <w:sz w:val="18"/>
          <w:szCs w:val="18"/>
        </w:rPr>
        <w:t>è corredata, a pena di esclusione,</w:t>
      </w:r>
      <w:r>
        <w:rPr>
          <w:rFonts w:ascii="Titillium" w:hAnsi="Titillium" w:cs="Calibri"/>
          <w:b/>
          <w:sz w:val="18"/>
          <w:szCs w:val="18"/>
        </w:rPr>
        <w:t xml:space="preserve"> </w:t>
      </w:r>
      <w:r>
        <w:rPr>
          <w:rFonts w:ascii="Titillium" w:hAnsi="Titillium" w:cs="Calibri"/>
          <w:sz w:val="18"/>
          <w:szCs w:val="18"/>
        </w:rPr>
        <w:t xml:space="preserve">da </w:t>
      </w:r>
      <w:r w:rsidRPr="00291685">
        <w:rPr>
          <w:rFonts w:ascii="Titillium" w:hAnsi="Titillium" w:cs="Calibri"/>
          <w:sz w:val="18"/>
          <w:szCs w:val="18"/>
        </w:rPr>
        <w:t>una garanzia provvisoria</w:t>
      </w:r>
      <w:r>
        <w:rPr>
          <w:rFonts w:ascii="Titillium" w:hAnsi="Titillium" w:cs="Calibri"/>
          <w:sz w:val="18"/>
          <w:szCs w:val="18"/>
        </w:rPr>
        <w:t xml:space="preserve"> pari a ... </w:t>
      </w:r>
      <w:r>
        <w:rPr>
          <w:rFonts w:ascii="Titillium" w:hAnsi="Titillium" w:cs="Calibri"/>
          <w:i/>
          <w:sz w:val="18"/>
          <w:szCs w:val="18"/>
        </w:rPr>
        <w:t xml:space="preserve">[2% del valore complessivo dell’appalto ovvero altra percentuale ai sensi dell’articolo 106, comma 1 del Codice] </w:t>
      </w:r>
      <w:r>
        <w:rPr>
          <w:rFonts w:ascii="Titillium" w:hAnsi="Titillium" w:cs="Calibri"/>
          <w:sz w:val="18"/>
          <w:szCs w:val="18"/>
        </w:rPr>
        <w:t>e precisamente di importo pari ad € ... [</w:t>
      </w:r>
      <w:r w:rsidRPr="00E10143">
        <w:rPr>
          <w:rFonts w:ascii="Titillium" w:hAnsi="Titillium" w:cs="Calibri"/>
          <w:i/>
          <w:sz w:val="18"/>
          <w:szCs w:val="18"/>
        </w:rPr>
        <w:t>indicare</w:t>
      </w:r>
      <w:r>
        <w:rPr>
          <w:rFonts w:ascii="Titillium" w:hAnsi="Titillium" w:cs="Calibri"/>
          <w:sz w:val="18"/>
          <w:szCs w:val="18"/>
        </w:rPr>
        <w:t>]. Si applicano le riduzioni di cui all’articolo 106, comma 8 del Codice.</w:t>
      </w:r>
    </w:p>
    <w:p w14:paraId="238C83A4" w14:textId="77777777" w:rsidR="00276DF7" w:rsidRDefault="00276DF7" w:rsidP="00276DF7">
      <w:pPr>
        <w:pBdr>
          <w:top w:val="single" w:sz="4" w:space="1" w:color="000000"/>
          <w:left w:val="single" w:sz="4" w:space="0" w:color="000000"/>
          <w:bottom w:val="single" w:sz="4" w:space="1" w:color="000000"/>
          <w:right w:val="single" w:sz="4" w:space="4" w:color="000000"/>
        </w:pBdr>
        <w:shd w:val="clear" w:color="auto" w:fill="F2F2F2" w:themeFill="background1" w:themeFillShade="F2"/>
        <w:spacing w:before="60" w:after="60"/>
        <w:rPr>
          <w:rFonts w:ascii="Titillium" w:hAnsi="Titillium" w:cs="Calibri"/>
          <w:i/>
          <w:sz w:val="18"/>
          <w:szCs w:val="18"/>
          <w:lang w:eastAsia="it-IT"/>
        </w:rPr>
      </w:pPr>
      <w:r>
        <w:rPr>
          <w:rFonts w:ascii="Titillium" w:hAnsi="Titillium" w:cs="Calibri"/>
          <w:i/>
          <w:sz w:val="18"/>
          <w:szCs w:val="18"/>
          <w:lang w:eastAsia="it-IT"/>
        </w:rPr>
        <w:t>N.B. Al fine di rendere l’importo della garanzia proporzionato e adeguato alla natura delle prestazioni oggetto del contratto e al grado di rischio ad esso connesso, la stazione appaltante può motivatamente ridurre l’importo della cauzione sino all’1% ovvero incrementarlo sino al 4%.</w:t>
      </w:r>
    </w:p>
    <w:p w14:paraId="60A2EE3D"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BD31DB">
        <w:rPr>
          <w:rFonts w:ascii="Calibri" w:hAnsi="Calibri" w:cs="Calibri"/>
          <w:b/>
          <w:i/>
          <w:sz w:val="20"/>
          <w:szCs w:val="20"/>
        </w:rPr>
        <w:t>[</w:t>
      </w:r>
      <w:r>
        <w:rPr>
          <w:rFonts w:ascii="Titillium" w:hAnsi="Titillium" w:cs="Calibri"/>
          <w:b/>
          <w:bCs/>
          <w:i/>
          <w:sz w:val="18"/>
          <w:szCs w:val="18"/>
        </w:rPr>
        <w:t xml:space="preserve">In caso di </w:t>
      </w:r>
      <w:r w:rsidRPr="00BD31DB">
        <w:rPr>
          <w:rFonts w:ascii="Titillium" w:hAnsi="Titillium" w:cs="Calibri"/>
          <w:b/>
          <w:bCs/>
          <w:i/>
          <w:sz w:val="18"/>
          <w:szCs w:val="18"/>
        </w:rPr>
        <w:t>gara divisa in più lotti</w:t>
      </w:r>
      <w:r w:rsidRPr="00BD31DB">
        <w:rPr>
          <w:rFonts w:ascii="Titillium" w:hAnsi="Titillium" w:cs="Calibri"/>
          <w:b/>
          <w:i/>
          <w:sz w:val="18"/>
          <w:szCs w:val="18"/>
        </w:rPr>
        <w:t>]</w:t>
      </w:r>
      <w:r>
        <w:rPr>
          <w:rFonts w:ascii="Titillium" w:hAnsi="Titillium" w:cs="Calibri"/>
          <w:sz w:val="18"/>
          <w:szCs w:val="18"/>
        </w:rPr>
        <w:t xml:space="preserve"> </w:t>
      </w:r>
      <w:bookmarkStart w:id="1768" w:name="_Hlk131759520"/>
      <w:r>
        <w:rPr>
          <w:rFonts w:ascii="Titillium" w:hAnsi="Titillium" w:cs="Calibri"/>
          <w:sz w:val="18"/>
          <w:szCs w:val="18"/>
        </w:rPr>
        <w:t>In caso di partecipazione a più lotti l’operatore economico può alternativamente:</w:t>
      </w:r>
    </w:p>
    <w:p w14:paraId="659A74D2"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prestare tante distinte ed autonome garanzie provvisorie quanti sono i lotti cui si intende partecipare;</w:t>
      </w:r>
    </w:p>
    <w:p w14:paraId="7180943F"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 prestare un’unica garanzia di </w:t>
      </w:r>
      <w:r w:rsidRPr="00502F55">
        <w:rPr>
          <w:rFonts w:ascii="Titillium" w:hAnsi="Titillium" w:cs="Calibri"/>
          <w:sz w:val="18"/>
          <w:szCs w:val="18"/>
        </w:rPr>
        <w:t>importo pari alla somma</w:t>
      </w:r>
      <w:r>
        <w:rPr>
          <w:rFonts w:ascii="Titillium" w:hAnsi="Titillium" w:cs="Calibri"/>
          <w:sz w:val="18"/>
          <w:szCs w:val="18"/>
        </w:rPr>
        <w:t xml:space="preserve"> degli importi stabiliti per i l</w:t>
      </w:r>
      <w:r w:rsidRPr="00502F55">
        <w:rPr>
          <w:rFonts w:ascii="Titillium" w:hAnsi="Titillium" w:cs="Calibri"/>
          <w:sz w:val="18"/>
          <w:szCs w:val="18"/>
        </w:rPr>
        <w:t>otti cui intende partecipare</w:t>
      </w:r>
      <w:r>
        <w:rPr>
          <w:rFonts w:ascii="Titillium" w:hAnsi="Titillium" w:cs="Calibri"/>
          <w:sz w:val="18"/>
          <w:szCs w:val="18"/>
        </w:rPr>
        <w:t xml:space="preserve">. Nella garanzia sono indicati </w:t>
      </w:r>
      <w:r w:rsidRPr="00502F55">
        <w:rPr>
          <w:rFonts w:ascii="Titillium" w:hAnsi="Titillium" w:cs="Calibri"/>
          <w:sz w:val="18"/>
          <w:szCs w:val="18"/>
        </w:rPr>
        <w:t xml:space="preserve">espressamente i </w:t>
      </w:r>
      <w:r>
        <w:rPr>
          <w:rFonts w:ascii="Titillium" w:hAnsi="Titillium" w:cs="Calibri"/>
          <w:sz w:val="18"/>
          <w:szCs w:val="18"/>
        </w:rPr>
        <w:t>singoli l</w:t>
      </w:r>
      <w:r w:rsidRPr="00502F55">
        <w:rPr>
          <w:rFonts w:ascii="Titillium" w:hAnsi="Titillium" w:cs="Calibri"/>
          <w:sz w:val="18"/>
          <w:szCs w:val="18"/>
        </w:rPr>
        <w:t xml:space="preserve">otti per i quali </w:t>
      </w:r>
      <w:r>
        <w:rPr>
          <w:rFonts w:ascii="Titillium" w:hAnsi="Titillium" w:cs="Calibri"/>
          <w:sz w:val="18"/>
          <w:szCs w:val="18"/>
        </w:rPr>
        <w:t xml:space="preserve">la stessa </w:t>
      </w:r>
      <w:r w:rsidRPr="00502F55">
        <w:rPr>
          <w:rFonts w:ascii="Titillium" w:hAnsi="Titillium" w:cs="Calibri"/>
          <w:sz w:val="18"/>
          <w:szCs w:val="18"/>
        </w:rPr>
        <w:t xml:space="preserve">viene prestata, nonché gli importi di dettaglio delle singole cauzioni </w:t>
      </w:r>
      <w:r>
        <w:rPr>
          <w:rFonts w:ascii="Titillium" w:hAnsi="Titillium" w:cs="Calibri"/>
          <w:sz w:val="18"/>
          <w:szCs w:val="18"/>
        </w:rPr>
        <w:t xml:space="preserve">riferite a </w:t>
      </w:r>
      <w:r w:rsidRPr="00502F55">
        <w:rPr>
          <w:rFonts w:ascii="Titillium" w:hAnsi="Titillium" w:cs="Calibri"/>
          <w:sz w:val="18"/>
          <w:szCs w:val="18"/>
        </w:rPr>
        <w:t xml:space="preserve">ciascun lotto. </w:t>
      </w:r>
    </w:p>
    <w:p w14:paraId="6CC42DAB" w14:textId="77777777" w:rsidR="00276DF7" w:rsidRDefault="00276DF7" w:rsidP="00276DF7">
      <w:pPr>
        <w:shd w:val="clear" w:color="auto" w:fill="F2F2F2" w:themeFill="background1" w:themeFillShade="F2"/>
        <w:spacing w:before="60" w:after="60"/>
        <w:rPr>
          <w:rFonts w:ascii="Calibri" w:hAnsi="Calibri" w:cs="Calibri"/>
          <w:sz w:val="20"/>
          <w:szCs w:val="20"/>
        </w:rPr>
      </w:pPr>
      <w:r w:rsidRPr="000A09BF">
        <w:rPr>
          <w:rFonts w:ascii="Calibri" w:hAnsi="Calibri" w:cs="Calibri"/>
          <w:b/>
          <w:i/>
          <w:sz w:val="20"/>
          <w:szCs w:val="20"/>
        </w:rPr>
        <w:t>[</w:t>
      </w:r>
      <w:r w:rsidRPr="000A09BF">
        <w:rPr>
          <w:rFonts w:ascii="Titillium" w:hAnsi="Titillium" w:cs="Calibri"/>
          <w:b/>
          <w:bCs/>
          <w:i/>
          <w:sz w:val="18"/>
          <w:szCs w:val="18"/>
        </w:rPr>
        <w:t>In alternativa, la stazione appaltante può indicare, se necessario, una sola delle due opzioni sopra indicate</w:t>
      </w:r>
      <w:r w:rsidRPr="000A09BF">
        <w:rPr>
          <w:rFonts w:ascii="Titillium" w:hAnsi="Titillium" w:cs="Calibri"/>
          <w:b/>
          <w:i/>
          <w:sz w:val="18"/>
          <w:szCs w:val="18"/>
        </w:rPr>
        <w:t>]</w:t>
      </w:r>
    </w:p>
    <w:bookmarkEnd w:id="1768"/>
    <w:p w14:paraId="3D18F1D5" w14:textId="77777777" w:rsidR="00276DF7" w:rsidRPr="004B4C8D" w:rsidRDefault="00276DF7" w:rsidP="00276DF7">
      <w:pPr>
        <w:shd w:val="clear" w:color="auto" w:fill="F2F2F2" w:themeFill="background1" w:themeFillShade="F2"/>
        <w:spacing w:before="120" w:after="60"/>
        <w:ind w:left="425" w:hanging="425"/>
      </w:pPr>
      <w:r>
        <w:rPr>
          <w:rFonts w:ascii="Titillium" w:hAnsi="Titillium" w:cs="Calibri"/>
          <w:sz w:val="18"/>
          <w:szCs w:val="18"/>
        </w:rPr>
        <w:t xml:space="preserve">La </w:t>
      </w:r>
      <w:r w:rsidRPr="004B4C8D">
        <w:rPr>
          <w:rFonts w:ascii="Titillium" w:hAnsi="Titillium" w:cs="Calibri"/>
          <w:sz w:val="18"/>
          <w:szCs w:val="18"/>
        </w:rPr>
        <w:t>garanzia provvisoria è costituita, a scelta del concorrente sotto forma di cauzione o di fideiussione:</w:t>
      </w:r>
    </w:p>
    <w:p w14:paraId="010243D6" w14:textId="77777777" w:rsidR="00276DF7" w:rsidRPr="00F6778C" w:rsidRDefault="00276DF7" w:rsidP="00276DF7">
      <w:pPr>
        <w:shd w:val="clear" w:color="auto" w:fill="F2F2F2" w:themeFill="background1" w:themeFillShade="F2"/>
        <w:spacing w:before="60" w:after="60"/>
        <w:rPr>
          <w:rFonts w:ascii="Titillium" w:hAnsi="Titillium" w:cs="Calibri"/>
          <w:sz w:val="18"/>
          <w:szCs w:val="18"/>
        </w:rPr>
      </w:pPr>
      <w:r w:rsidRPr="004B4C8D">
        <w:rPr>
          <w:rFonts w:ascii="Titillium" w:hAnsi="Titillium" w:cs="Calibri"/>
          <w:sz w:val="18"/>
          <w:szCs w:val="18"/>
        </w:rPr>
        <w:t>La cauzione è costituita mediante accredito, con bonifico o con altri strumenti e canali di pagamento elettronici, presso il conto … [</w:t>
      </w:r>
      <w:r w:rsidRPr="004B4C8D">
        <w:rPr>
          <w:rFonts w:ascii="Titillium" w:hAnsi="Titillium" w:cs="Calibri"/>
          <w:i/>
          <w:sz w:val="18"/>
          <w:szCs w:val="18"/>
        </w:rPr>
        <w:t>la</w:t>
      </w:r>
      <w:r w:rsidRPr="00F6778C">
        <w:rPr>
          <w:rFonts w:ascii="Titillium" w:hAnsi="Titillium" w:cs="Calibri"/>
          <w:i/>
          <w:sz w:val="18"/>
          <w:szCs w:val="18"/>
        </w:rPr>
        <w:t xml:space="preserve"> stazione appaltante indica gli estremi </w:t>
      </w:r>
      <w:r>
        <w:rPr>
          <w:rFonts w:ascii="Titillium" w:hAnsi="Titillium" w:cs="Calibri"/>
          <w:i/>
          <w:sz w:val="18"/>
          <w:szCs w:val="18"/>
        </w:rPr>
        <w:t>del conto presso l’istituto incaricato del servizio di tesoreria</w:t>
      </w:r>
      <w:r w:rsidRPr="00F6778C">
        <w:rPr>
          <w:rFonts w:ascii="Titillium" w:hAnsi="Titillium" w:cs="Calibri"/>
          <w:sz w:val="18"/>
          <w:szCs w:val="18"/>
        </w:rPr>
        <w:t>;</w:t>
      </w:r>
    </w:p>
    <w:p w14:paraId="4EF118D8" w14:textId="77777777" w:rsidR="00276DF7" w:rsidRDefault="00276DF7" w:rsidP="00276DF7">
      <w:pPr>
        <w:shd w:val="clear" w:color="auto" w:fill="F2F2F2" w:themeFill="background1" w:themeFillShade="F2"/>
        <w:spacing w:before="60" w:after="60"/>
        <w:rPr>
          <w:rFonts w:ascii="Titillium" w:hAnsi="Titillium" w:cs="Calibri"/>
          <w:sz w:val="18"/>
        </w:rPr>
      </w:pPr>
      <w:r>
        <w:rPr>
          <w:rFonts w:ascii="Titillium" w:hAnsi="Titillium" w:cs="Calibri"/>
          <w:sz w:val="18"/>
        </w:rPr>
        <w:t>La fideiussione può essere r</w:t>
      </w:r>
      <w:r w:rsidRPr="00F6778C">
        <w:rPr>
          <w:rFonts w:ascii="Titillium" w:hAnsi="Titillium" w:cs="Calibri"/>
          <w:sz w:val="18"/>
        </w:rPr>
        <w:t>ilasciata</w:t>
      </w:r>
      <w:r>
        <w:rPr>
          <w:rFonts w:ascii="Titillium" w:hAnsi="Titillium" w:cs="Calibri"/>
          <w:sz w:val="18"/>
        </w:rPr>
        <w:t>:</w:t>
      </w:r>
    </w:p>
    <w:p w14:paraId="125307D7" w14:textId="77777777" w:rsidR="00276DF7" w:rsidRPr="0065511E" w:rsidRDefault="00276DF7" w:rsidP="00276DF7">
      <w:pPr>
        <w:pStyle w:val="Paragrafoelenco"/>
        <w:numPr>
          <w:ilvl w:val="1"/>
          <w:numId w:val="18"/>
        </w:numPr>
        <w:shd w:val="clear" w:color="auto" w:fill="F2F2F2" w:themeFill="background1" w:themeFillShade="F2"/>
        <w:spacing w:before="60" w:after="60"/>
        <w:ind w:left="426"/>
      </w:pPr>
      <w:r w:rsidRPr="0065511E">
        <w:rPr>
          <w:rFonts w:ascii="Titillium" w:hAnsi="Titillium" w:cs="Calibri"/>
          <w:sz w:val="18"/>
          <w:szCs w:val="24"/>
        </w:rPr>
        <w:t>da imprese bancarie o assicurative che rispondono ai requisiti di solvibilità previsti dalle leggi che ne disciplinano le rispettive attività</w:t>
      </w:r>
      <w:r>
        <w:rPr>
          <w:rFonts w:ascii="Titillium" w:hAnsi="Titillium" w:cs="Calibri"/>
          <w:sz w:val="18"/>
          <w:szCs w:val="24"/>
        </w:rPr>
        <w:t>;</w:t>
      </w:r>
    </w:p>
    <w:p w14:paraId="16607B3B" w14:textId="77777777" w:rsidR="00276DF7" w:rsidRPr="00D164F6" w:rsidRDefault="00276DF7" w:rsidP="00276DF7">
      <w:pPr>
        <w:pStyle w:val="Paragrafoelenco"/>
        <w:numPr>
          <w:ilvl w:val="1"/>
          <w:numId w:val="18"/>
        </w:numPr>
        <w:shd w:val="clear" w:color="auto" w:fill="F2F2F2" w:themeFill="background1" w:themeFillShade="F2"/>
        <w:spacing w:before="60" w:after="60"/>
        <w:ind w:left="426"/>
      </w:pPr>
      <w:r w:rsidRPr="0065511E">
        <w:rPr>
          <w:rFonts w:ascii="Titillium" w:hAnsi="Titillium" w:cs="Calibri"/>
          <w:sz w:val="18"/>
          <w:szCs w:val="24"/>
        </w:rPr>
        <w:t>da un intermediario finanziario iscritto nell'albo di cui all'</w:t>
      </w:r>
      <w:hyperlink r:id="rId5" w:anchor="107" w:history="1">
        <w:r w:rsidRPr="0065511E">
          <w:rPr>
            <w:rFonts w:ascii="Titillium" w:hAnsi="Titillium" w:cs="Calibri"/>
            <w:sz w:val="18"/>
            <w:szCs w:val="24"/>
          </w:rPr>
          <w:t>articolo 106 del decreto legislativo 1 settembre 1993, n. 385</w:t>
        </w:r>
      </w:hyperlink>
      <w:r w:rsidRPr="0065511E">
        <w:rPr>
          <w:rFonts w:ascii="Titillium" w:hAnsi="Titillium"/>
          <w:sz w:val="18"/>
          <w:szCs w:val="18"/>
        </w:rPr>
        <w:t xml:space="preserve">, che </w:t>
      </w:r>
      <w:r w:rsidRPr="0065511E">
        <w:rPr>
          <w:rFonts w:ascii="Titillium" w:hAnsi="Titillium" w:cs="Calibri"/>
          <w:sz w:val="18"/>
          <w:szCs w:val="18"/>
        </w:rPr>
        <w:t>svolge</w:t>
      </w:r>
      <w:r w:rsidRPr="0065511E">
        <w:rPr>
          <w:rFonts w:ascii="Titillium" w:hAnsi="Titillium" w:cs="Calibri"/>
          <w:sz w:val="18"/>
          <w:szCs w:val="24"/>
        </w:rPr>
        <w:t xml:space="preserve"> in via esclusiva o prevalente attività di rilascio di garanzie</w:t>
      </w:r>
      <w:r>
        <w:rPr>
          <w:rFonts w:ascii="Titillium" w:hAnsi="Titillium" w:cs="Calibri"/>
          <w:sz w:val="18"/>
          <w:szCs w:val="24"/>
        </w:rPr>
        <w:t>, che</w:t>
      </w:r>
      <w:r w:rsidRPr="0065511E">
        <w:rPr>
          <w:rFonts w:ascii="Titillium" w:hAnsi="Titillium" w:cs="Calibri"/>
          <w:sz w:val="18"/>
          <w:szCs w:val="24"/>
        </w:rPr>
        <w:t xml:space="preserve"> è sottopost</w:t>
      </w:r>
      <w:r>
        <w:rPr>
          <w:rFonts w:ascii="Titillium" w:hAnsi="Titillium" w:cs="Calibri"/>
          <w:sz w:val="18"/>
          <w:szCs w:val="24"/>
        </w:rPr>
        <w:t>o</w:t>
      </w:r>
      <w:r w:rsidRPr="0065511E">
        <w:rPr>
          <w:rFonts w:ascii="Titillium" w:hAnsi="Titillium" w:cs="Calibri"/>
          <w:sz w:val="18"/>
          <w:szCs w:val="24"/>
        </w:rPr>
        <w:t xml:space="preserve"> a revisione contabile da parte di una società di revisione iscritta nell'albo previsto dall'articolo 161 del decreto legislativo 24 febbraio 1998, n. 58;</w:t>
      </w:r>
      <w:r>
        <w:rPr>
          <w:rFonts w:ascii="Titillium" w:hAnsi="Titillium" w:cs="Calibri"/>
          <w:sz w:val="18"/>
          <w:szCs w:val="24"/>
        </w:rPr>
        <w:t xml:space="preserve"> e che abbia </w:t>
      </w:r>
      <w:r w:rsidRPr="0065511E">
        <w:rPr>
          <w:rFonts w:ascii="Titillium" w:hAnsi="Titillium" w:cs="Calibri"/>
          <w:sz w:val="18"/>
          <w:szCs w:val="24"/>
        </w:rPr>
        <w:t>i requisiti minimi di solvibilità richiesti dalla vigente normativa bancaria assicurativa</w:t>
      </w:r>
      <w:r>
        <w:rPr>
          <w:rFonts w:ascii="Titillium" w:hAnsi="Titillium" w:cs="Calibri"/>
          <w:sz w:val="18"/>
          <w:szCs w:val="24"/>
        </w:rPr>
        <w:t>.</w:t>
      </w:r>
    </w:p>
    <w:p w14:paraId="0E643BC9" w14:textId="77777777" w:rsidR="00276DF7" w:rsidRDefault="00276DF7" w:rsidP="00276DF7">
      <w:pPr>
        <w:shd w:val="clear" w:color="auto" w:fill="F2F2F2" w:themeFill="background1" w:themeFillShade="F2"/>
        <w:spacing w:before="60" w:after="60"/>
        <w:rPr>
          <w:rFonts w:ascii="Titillium" w:hAnsi="Titillium" w:cs="Calibri"/>
          <w:sz w:val="18"/>
        </w:rPr>
      </w:pPr>
    </w:p>
    <w:p w14:paraId="36564E16" w14:textId="77777777" w:rsidR="00276DF7" w:rsidRPr="00D164F6" w:rsidRDefault="00276DF7" w:rsidP="00276DF7">
      <w:pPr>
        <w:shd w:val="clear" w:color="auto" w:fill="F2F2F2" w:themeFill="background1" w:themeFillShade="F2"/>
        <w:spacing w:before="60" w:after="60"/>
        <w:rPr>
          <w:rFonts w:ascii="Titillium" w:hAnsi="Titillium" w:cs="Calibri"/>
          <w:sz w:val="18"/>
        </w:rPr>
      </w:pPr>
      <w:r>
        <w:rPr>
          <w:rFonts w:ascii="Titillium" w:hAnsi="Titillium" w:cs="Calibri"/>
          <w:sz w:val="18"/>
        </w:rPr>
        <w:t>G</w:t>
      </w:r>
      <w:r w:rsidRPr="00D164F6">
        <w:rPr>
          <w:rFonts w:ascii="Titillium" w:hAnsi="Titillium" w:cs="Calibri"/>
          <w:sz w:val="18"/>
        </w:rPr>
        <w:t>li operatori economici, prima di procedere alla sottoscrizione della garanzia, sono tenuti a verificare che il soggetto garante sia in possesso dell’autorizzazione al rilascio di garanzie mediante accesso ai seguenti siti internet:</w:t>
      </w:r>
    </w:p>
    <w:p w14:paraId="27FE6115" w14:textId="77777777" w:rsidR="00276DF7" w:rsidRPr="00D164F6" w:rsidRDefault="00276DF7" w:rsidP="00276DF7">
      <w:pPr>
        <w:pStyle w:val="Paragrafoelenco"/>
        <w:shd w:val="clear" w:color="auto" w:fill="F2F2F2" w:themeFill="background1" w:themeFillShade="F2"/>
        <w:spacing w:before="60" w:after="60"/>
        <w:ind w:left="0"/>
        <w:rPr>
          <w:rFonts w:ascii="Titillium" w:hAnsi="Titillium" w:cs="Calibri"/>
          <w:sz w:val="18"/>
          <w:szCs w:val="18"/>
        </w:rPr>
      </w:pPr>
      <w:hyperlink r:id="rId6" w:history="1">
        <w:r w:rsidRPr="00D164F6">
          <w:rPr>
            <w:rStyle w:val="Collegamentoipertestuale"/>
            <w:rFonts w:ascii="Titillium" w:hAnsi="Titillium" w:cs="Calibri"/>
            <w:sz w:val="18"/>
            <w:szCs w:val="18"/>
          </w:rPr>
          <w:t>http://www.bancaditalia.it/compiti/vigilanza/intermediari/index.html</w:t>
        </w:r>
      </w:hyperlink>
    </w:p>
    <w:p w14:paraId="64DF3A38" w14:textId="77777777" w:rsidR="00276DF7" w:rsidRPr="00D164F6" w:rsidRDefault="00276DF7" w:rsidP="00276DF7">
      <w:pPr>
        <w:shd w:val="clear" w:color="auto" w:fill="F2F2F2" w:themeFill="background1" w:themeFillShade="F2"/>
        <w:spacing w:before="60" w:after="60"/>
        <w:rPr>
          <w:rFonts w:ascii="Titillium" w:hAnsi="Titillium" w:cs="Calibri"/>
          <w:sz w:val="18"/>
          <w:szCs w:val="18"/>
        </w:rPr>
      </w:pPr>
      <w:hyperlink r:id="rId7" w:history="1">
        <w:r w:rsidRPr="00D164F6">
          <w:rPr>
            <w:rStyle w:val="Collegamentoipertestuale"/>
            <w:rFonts w:ascii="Titillium" w:hAnsi="Titillium" w:cs="Calibri"/>
            <w:sz w:val="18"/>
            <w:szCs w:val="18"/>
          </w:rPr>
          <w:t>http://www.bancaditalia.it/compiti/vigilanza/avvisi-pub/garanzie-finanziarie/</w:t>
        </w:r>
      </w:hyperlink>
    </w:p>
    <w:p w14:paraId="62C95D25" w14:textId="77777777" w:rsidR="00276DF7" w:rsidRPr="00D164F6" w:rsidRDefault="00276DF7" w:rsidP="00276DF7">
      <w:pPr>
        <w:pStyle w:val="Paragrafoelenco"/>
        <w:shd w:val="clear" w:color="auto" w:fill="F2F2F2" w:themeFill="background1" w:themeFillShade="F2"/>
        <w:spacing w:before="60" w:after="60"/>
        <w:ind w:left="0"/>
        <w:rPr>
          <w:rStyle w:val="Collegamentoipertestuale"/>
          <w:rFonts w:ascii="Titillium" w:hAnsi="Titillium" w:cs="Calibri"/>
          <w:sz w:val="18"/>
          <w:szCs w:val="18"/>
        </w:rPr>
      </w:pPr>
      <w:hyperlink r:id="rId8" w:history="1">
        <w:r w:rsidRPr="00D164F6">
          <w:rPr>
            <w:rStyle w:val="Collegamentoipertestuale"/>
            <w:rFonts w:ascii="Titillium" w:hAnsi="Titillium" w:cs="Calibri"/>
            <w:sz w:val="18"/>
            <w:szCs w:val="18"/>
          </w:rPr>
          <w:t>http://www.ivass.it/ivass/imprese_jsp/HomePage.jsp</w:t>
        </w:r>
      </w:hyperlink>
    </w:p>
    <w:p w14:paraId="6207365F"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sz w:val="18"/>
          <w:szCs w:val="18"/>
        </w:rPr>
      </w:pPr>
      <w:r w:rsidRPr="004B4C8D">
        <w:rPr>
          <w:rFonts w:ascii="Titillium" w:hAnsi="Titillium" w:cs="Calibri"/>
          <w:i/>
          <w:sz w:val="18"/>
          <w:szCs w:val="18"/>
        </w:rPr>
        <w:t xml:space="preserve">N.B.: Si raccomanda di prendere visione del documento denominato </w:t>
      </w:r>
      <w:hyperlink r:id="rId9" w:history="1">
        <w:r w:rsidRPr="00F775EC">
          <w:rPr>
            <w:rStyle w:val="Collegamentoipertestuale"/>
            <w:rFonts w:ascii="Titillium" w:hAnsi="Titillium" w:cs="Calibri"/>
            <w:i/>
            <w:sz w:val="18"/>
            <w:szCs w:val="18"/>
          </w:rPr>
          <w:t>https://www.anticorruzione.it/-/garanzie-finanziarie</w:t>
        </w:r>
      </w:hyperlink>
    </w:p>
    <w:p w14:paraId="49BDC3DC" w14:textId="77777777" w:rsidR="00276DF7" w:rsidRDefault="00276DF7" w:rsidP="00276DF7">
      <w:pPr>
        <w:shd w:val="clear" w:color="auto" w:fill="F2F2F2" w:themeFill="background1" w:themeFillShade="F2"/>
        <w:spacing w:before="60" w:after="60"/>
        <w:ind w:left="66"/>
        <w:rPr>
          <w:rFonts w:ascii="Titillium" w:hAnsi="Titillium" w:cs="Calibri"/>
          <w:sz w:val="18"/>
        </w:rPr>
      </w:pPr>
    </w:p>
    <w:p w14:paraId="100FB79A" w14:textId="77777777" w:rsidR="00276DF7" w:rsidRDefault="00276DF7" w:rsidP="00276DF7">
      <w:pPr>
        <w:shd w:val="clear" w:color="auto" w:fill="F2F2F2" w:themeFill="background1" w:themeFillShade="F2"/>
        <w:spacing w:before="60" w:after="60"/>
        <w:ind w:left="66"/>
        <w:rPr>
          <w:rFonts w:ascii="Titillium" w:hAnsi="Titillium" w:cs="Calibri"/>
          <w:sz w:val="18"/>
        </w:rPr>
      </w:pPr>
      <w:r w:rsidRPr="00364DF1">
        <w:rPr>
          <w:rFonts w:ascii="Titillium" w:hAnsi="Titillium" w:cs="Calibri"/>
          <w:i/>
          <w:iCs/>
          <w:sz w:val="18"/>
        </w:rPr>
        <w:t>[Fino al 31 dicembre 2023]</w:t>
      </w:r>
      <w:r>
        <w:rPr>
          <w:rFonts w:ascii="Titillium" w:hAnsi="Titillium" w:cs="Calibri"/>
          <w:sz w:val="18"/>
        </w:rPr>
        <w:t xml:space="preserve"> </w:t>
      </w:r>
      <w:r w:rsidRPr="00D20585">
        <w:rPr>
          <w:rFonts w:ascii="Titillium" w:hAnsi="Titillium" w:cs="Calibri"/>
          <w:sz w:val="18"/>
        </w:rPr>
        <w:t xml:space="preserve">La garanzia fideiussoria deve essere emessa e firmata </w:t>
      </w:r>
      <w:r w:rsidRPr="007518AC">
        <w:rPr>
          <w:rFonts w:ascii="Titillium" w:hAnsi="Titillium" w:cs="Calibri"/>
          <w:sz w:val="18"/>
        </w:rPr>
        <w:t>da un soggetto in possesso dei poteri necessari per impegnare il garante</w:t>
      </w:r>
      <w:r>
        <w:rPr>
          <w:rFonts w:ascii="Titillium" w:hAnsi="Titillium" w:cs="Calibri"/>
          <w:sz w:val="18"/>
        </w:rPr>
        <w:t xml:space="preserve">. </w:t>
      </w:r>
    </w:p>
    <w:p w14:paraId="460338E8" w14:textId="77777777" w:rsidR="00276DF7" w:rsidRDefault="00276DF7" w:rsidP="00276DF7">
      <w:pPr>
        <w:shd w:val="clear" w:color="auto" w:fill="F2F2F2" w:themeFill="background1" w:themeFillShade="F2"/>
        <w:spacing w:before="60" w:after="60"/>
        <w:ind w:left="66"/>
        <w:rPr>
          <w:rFonts w:ascii="Titillium" w:hAnsi="Titillium" w:cs="Calibri"/>
          <w:i/>
          <w:iCs/>
          <w:sz w:val="18"/>
        </w:rPr>
      </w:pPr>
      <w:r w:rsidRPr="00364DF1">
        <w:rPr>
          <w:rFonts w:ascii="Titillium" w:hAnsi="Titillium" w:cs="Calibri"/>
          <w:i/>
          <w:iCs/>
          <w:sz w:val="18"/>
        </w:rPr>
        <w:t>[A decorrere dal 1° gennaio 2024]</w:t>
      </w:r>
    </w:p>
    <w:p w14:paraId="04AAEB56" w14:textId="77777777" w:rsidR="00276DF7" w:rsidRDefault="00276DF7" w:rsidP="00276DF7">
      <w:pPr>
        <w:shd w:val="clear" w:color="auto" w:fill="F2F2F2" w:themeFill="background1" w:themeFillShade="F2"/>
        <w:spacing w:before="60" w:after="60"/>
        <w:ind w:left="66"/>
        <w:rPr>
          <w:rFonts w:ascii="Titillium" w:hAnsi="Titillium" w:cs="Calibri"/>
          <w:sz w:val="18"/>
        </w:rPr>
      </w:pPr>
      <w:r>
        <w:rPr>
          <w:rFonts w:ascii="Titillium" w:hAnsi="Titillium" w:cs="Calibri"/>
          <w:i/>
          <w:iCs/>
          <w:sz w:val="18"/>
        </w:rPr>
        <w:t xml:space="preserve"> </w:t>
      </w:r>
      <w:r w:rsidRPr="00D20585">
        <w:rPr>
          <w:rFonts w:ascii="Titillium" w:hAnsi="Titillium" w:cs="Calibri"/>
          <w:sz w:val="18"/>
        </w:rPr>
        <w:t>La garanzia fideiussoria deve essere emessa e firmata digitalmente</w:t>
      </w:r>
      <w:r w:rsidRPr="007518AC">
        <w:t xml:space="preserve"> </w:t>
      </w:r>
      <w:r w:rsidRPr="007518AC">
        <w:rPr>
          <w:rFonts w:ascii="Titillium" w:hAnsi="Titillium" w:cs="Calibri"/>
          <w:sz w:val="18"/>
        </w:rPr>
        <w:t>da un soggetto in possesso dei poteri necessari per impegnare il garante</w:t>
      </w:r>
      <w:r w:rsidRPr="00D20585">
        <w:rPr>
          <w:rFonts w:ascii="Titillium" w:hAnsi="Titillium" w:cs="Calibri"/>
          <w:sz w:val="18"/>
        </w:rPr>
        <w:t xml:space="preserve">. </w:t>
      </w:r>
    </w:p>
    <w:p w14:paraId="2C12E78F" w14:textId="77777777" w:rsidR="00276DF7" w:rsidRDefault="00276DF7" w:rsidP="00276DF7">
      <w:pPr>
        <w:shd w:val="clear" w:color="auto" w:fill="F2F2F2" w:themeFill="background1" w:themeFillShade="F2"/>
        <w:spacing w:before="60" w:after="60"/>
        <w:ind w:left="66"/>
        <w:rPr>
          <w:rFonts w:ascii="Titillium" w:hAnsi="Titillium" w:cs="Calibri"/>
          <w:sz w:val="18"/>
        </w:rPr>
      </w:pPr>
      <w:r w:rsidRPr="00F44937">
        <w:rPr>
          <w:rFonts w:ascii="Titillium" w:hAnsi="Titillium" w:cs="Calibri"/>
          <w:i/>
          <w:sz w:val="18"/>
        </w:rPr>
        <w:t>[</w:t>
      </w:r>
      <w:bookmarkStart w:id="1769" w:name="_Hlk138084823"/>
      <w:r>
        <w:rPr>
          <w:rFonts w:ascii="Titillium" w:hAnsi="Titillium" w:cs="Calibri"/>
          <w:i/>
          <w:sz w:val="18"/>
        </w:rPr>
        <w:t>N</w:t>
      </w:r>
      <w:r w:rsidRPr="00F44937">
        <w:rPr>
          <w:rFonts w:ascii="Titillium" w:hAnsi="Titillium" w:cs="Calibri"/>
          <w:i/>
          <w:sz w:val="18"/>
        </w:rPr>
        <w:t xml:space="preserve">el caso in cui la stazione appaltante sia abilitata ad effettuare le verifiche di veridicità sulle garanzie fideiussorie gestite tramite ricorso a piattaforme operanti </w:t>
      </w:r>
      <w:bookmarkEnd w:id="1769"/>
      <w:r w:rsidRPr="00F44937">
        <w:rPr>
          <w:rFonts w:ascii="Titillium" w:hAnsi="Titillium" w:cs="Calibri"/>
          <w:i/>
          <w:sz w:val="18"/>
        </w:rPr>
        <w:t>con tecnologie basate su registri distribuiti ai sensi dell’articolo 8-ter, comma 1, del decreto-legge 14 dicembre 2018, n. 135, convertito, con modificazioni, dalla legge 11 febbraio 2019, n. 12,</w:t>
      </w:r>
      <w:r>
        <w:rPr>
          <w:rFonts w:ascii="Titillium" w:hAnsi="Titillium" w:cs="Calibri"/>
          <w:sz w:val="18"/>
        </w:rPr>
        <w:t>] L’operatore economico può, alternativamente:</w:t>
      </w:r>
    </w:p>
    <w:p w14:paraId="6C4A1DF5" w14:textId="77777777" w:rsidR="00276DF7" w:rsidRDefault="00276DF7" w:rsidP="00276DF7">
      <w:pPr>
        <w:shd w:val="clear" w:color="auto" w:fill="F2F2F2" w:themeFill="background1" w:themeFillShade="F2"/>
        <w:spacing w:before="60" w:after="60"/>
        <w:ind w:left="66"/>
        <w:rPr>
          <w:rFonts w:ascii="Titillium" w:hAnsi="Titillium" w:cs="Calibri"/>
          <w:sz w:val="18"/>
        </w:rPr>
      </w:pPr>
      <w:r w:rsidRPr="00385996">
        <w:rPr>
          <w:rFonts w:ascii="Titillium" w:hAnsi="Titillium" w:cs="Calibri"/>
          <w:i/>
          <w:sz w:val="18"/>
        </w:rPr>
        <w:t xml:space="preserve">- </w:t>
      </w:r>
      <w:r w:rsidRPr="00385996">
        <w:rPr>
          <w:rFonts w:ascii="Titillium" w:hAnsi="Titillium" w:cs="Calibri"/>
          <w:sz w:val="18"/>
        </w:rPr>
        <w:t xml:space="preserve"> presentare una garanzia fideiussoria gestita mediante ricorso a una delle seguenti piattaforme … [</w:t>
      </w:r>
      <w:r w:rsidRPr="00385996">
        <w:rPr>
          <w:rFonts w:ascii="Titillium" w:hAnsi="Titillium" w:cs="Calibri"/>
          <w:i/>
          <w:sz w:val="18"/>
        </w:rPr>
        <w:t>indicare le piattaforme cui la stazione appaltante è abilitata</w:t>
      </w:r>
      <w:r w:rsidRPr="00385996">
        <w:rPr>
          <w:rFonts w:ascii="Titillium" w:hAnsi="Titillium" w:cs="Calibri"/>
          <w:sz w:val="18"/>
        </w:rPr>
        <w:t>];</w:t>
      </w:r>
    </w:p>
    <w:p w14:paraId="726C2501" w14:textId="77777777" w:rsidR="00276DF7" w:rsidRDefault="00276DF7" w:rsidP="00276DF7">
      <w:pPr>
        <w:shd w:val="clear" w:color="auto" w:fill="F2F2F2" w:themeFill="background1" w:themeFillShade="F2"/>
        <w:spacing w:before="60" w:after="60"/>
        <w:ind w:left="66"/>
        <w:rPr>
          <w:rFonts w:ascii="Titillium" w:hAnsi="Titillium" w:cs="Calibri"/>
          <w:sz w:val="18"/>
        </w:rPr>
      </w:pPr>
      <w:r>
        <w:rPr>
          <w:rFonts w:ascii="Titillium" w:hAnsi="Titillium" w:cs="Calibri"/>
          <w:sz w:val="18"/>
        </w:rPr>
        <w:t xml:space="preserve">- presentare una garanzia fideiussoria </w:t>
      </w:r>
      <w:r w:rsidRPr="00F44937">
        <w:rPr>
          <w:rFonts w:ascii="Titillium" w:hAnsi="Titillium" w:cs="Calibri"/>
          <w:sz w:val="18"/>
        </w:rPr>
        <w:t>verificabile telematicamente presso l’emittente</w:t>
      </w:r>
      <w:r>
        <w:rPr>
          <w:rFonts w:ascii="Titillium" w:hAnsi="Titillium" w:cs="Calibri"/>
          <w:sz w:val="18"/>
        </w:rPr>
        <w:t xml:space="preserve">, indicando </w:t>
      </w:r>
      <w:r w:rsidRPr="00F44937">
        <w:rPr>
          <w:rFonts w:ascii="Titillium" w:hAnsi="Titillium" w:cs="Calibri"/>
          <w:sz w:val="18"/>
        </w:rPr>
        <w:t xml:space="preserve">nella domanda il sito internet presso il quale </w:t>
      </w:r>
      <w:r>
        <w:rPr>
          <w:rFonts w:ascii="Titillium" w:hAnsi="Titillium" w:cs="Calibri"/>
          <w:sz w:val="18"/>
        </w:rPr>
        <w:t>è possibile verificare la garanzia.</w:t>
      </w:r>
      <w:r w:rsidRPr="00F44937">
        <w:rPr>
          <w:rFonts w:ascii="Titillium" w:hAnsi="Titillium" w:cs="Calibri"/>
          <w:sz w:val="18"/>
        </w:rPr>
        <w:t xml:space="preserve"> </w:t>
      </w:r>
    </w:p>
    <w:p w14:paraId="39D491DF" w14:textId="77777777" w:rsidR="00276DF7" w:rsidRDefault="00276DF7" w:rsidP="00276DF7">
      <w:pPr>
        <w:shd w:val="clear" w:color="auto" w:fill="F2F2F2" w:themeFill="background1" w:themeFillShade="F2"/>
        <w:spacing w:before="60" w:after="60"/>
        <w:ind w:left="66"/>
        <w:rPr>
          <w:rFonts w:ascii="Titillium" w:hAnsi="Titillium" w:cs="Calibri"/>
          <w:sz w:val="18"/>
        </w:rPr>
      </w:pPr>
      <w:r>
        <w:rPr>
          <w:rFonts w:ascii="Titillium" w:hAnsi="Titillium" w:cs="Calibri"/>
          <w:i/>
          <w:sz w:val="18"/>
        </w:rPr>
        <w:lastRenderedPageBreak/>
        <w:t xml:space="preserve">[In alternativa, nel caso in cui la stazione appaltante non sia abilitata ad effettuare verifiche di veridicità sulle garanzie fideiussorie gestite tramite piattaforme telematiche] </w:t>
      </w:r>
      <w:r>
        <w:rPr>
          <w:rFonts w:ascii="Titillium" w:hAnsi="Titillium" w:cs="Calibri"/>
          <w:sz w:val="18"/>
        </w:rPr>
        <w:t xml:space="preserve">L’operatore economico </w:t>
      </w:r>
      <w:r w:rsidRPr="00F44937">
        <w:rPr>
          <w:rFonts w:ascii="Titillium" w:hAnsi="Titillium" w:cs="Calibri"/>
          <w:sz w:val="18"/>
        </w:rPr>
        <w:t xml:space="preserve">presenta una garanzia fideiussoria verificabile telematicamente presso l’emittente, indicando nella domanda il sito internet presso il quale </w:t>
      </w:r>
      <w:r>
        <w:rPr>
          <w:rFonts w:ascii="Titillium" w:hAnsi="Titillium" w:cs="Calibri"/>
          <w:sz w:val="18"/>
        </w:rPr>
        <w:t xml:space="preserve">è possibile verificare la </w:t>
      </w:r>
      <w:r w:rsidRPr="00F44937">
        <w:rPr>
          <w:rFonts w:ascii="Titillium" w:hAnsi="Titillium" w:cs="Calibri"/>
          <w:sz w:val="18"/>
        </w:rPr>
        <w:t>garanzia</w:t>
      </w:r>
      <w:r>
        <w:rPr>
          <w:rFonts w:ascii="Titillium" w:hAnsi="Titillium" w:cs="Calibri"/>
          <w:sz w:val="18"/>
        </w:rPr>
        <w:t>.</w:t>
      </w:r>
      <w:r w:rsidRPr="00F44937">
        <w:rPr>
          <w:rFonts w:ascii="Titillium" w:hAnsi="Titillium" w:cs="Calibri"/>
          <w:sz w:val="18"/>
        </w:rPr>
        <w:t xml:space="preserve"> </w:t>
      </w:r>
    </w:p>
    <w:p w14:paraId="2AECF141" w14:textId="77777777" w:rsidR="00276DF7" w:rsidRDefault="00276DF7" w:rsidP="00276DF7">
      <w:pPr>
        <w:shd w:val="clear" w:color="auto" w:fill="F2F2F2" w:themeFill="background1" w:themeFillShade="F2"/>
        <w:spacing w:before="60" w:after="60"/>
        <w:rPr>
          <w:rFonts w:ascii="Titillium" w:hAnsi="Titillium" w:cs="Calibri"/>
          <w:sz w:val="18"/>
          <w:szCs w:val="18"/>
        </w:rPr>
      </w:pPr>
    </w:p>
    <w:p w14:paraId="5EF00AE6" w14:textId="77777777" w:rsidR="00276DF7" w:rsidRPr="005F328F" w:rsidRDefault="00276DF7" w:rsidP="00276DF7">
      <w:pPr>
        <w:shd w:val="clear" w:color="auto" w:fill="F2F2F2" w:themeFill="background1" w:themeFillShade="F2"/>
        <w:spacing w:before="60" w:after="60"/>
      </w:pPr>
      <w:r w:rsidRPr="005F328F">
        <w:rPr>
          <w:rFonts w:ascii="Titillium" w:hAnsi="Titillium" w:cs="Calibri"/>
          <w:sz w:val="18"/>
          <w:szCs w:val="18"/>
        </w:rPr>
        <w:t xml:space="preserve">La </w:t>
      </w:r>
      <w:r>
        <w:rPr>
          <w:rFonts w:ascii="Titillium" w:hAnsi="Titillium" w:cs="Calibri"/>
          <w:sz w:val="18"/>
          <w:szCs w:val="18"/>
        </w:rPr>
        <w:t xml:space="preserve">fideiussione </w:t>
      </w:r>
      <w:r w:rsidRPr="005F328F">
        <w:rPr>
          <w:rFonts w:ascii="Titillium" w:hAnsi="Titillium" w:cs="Calibri"/>
          <w:sz w:val="18"/>
          <w:szCs w:val="18"/>
        </w:rPr>
        <w:t>deve:</w:t>
      </w:r>
    </w:p>
    <w:p w14:paraId="39DF13EA" w14:textId="77777777" w:rsidR="00276DF7" w:rsidRDefault="00276DF7" w:rsidP="00276DF7">
      <w:pPr>
        <w:numPr>
          <w:ilvl w:val="2"/>
          <w:numId w:val="33"/>
        </w:numPr>
        <w:shd w:val="clear" w:color="auto" w:fill="F2F2F2" w:themeFill="background1" w:themeFillShade="F2"/>
        <w:spacing w:before="60" w:after="60" w:line="276" w:lineRule="auto"/>
        <w:ind w:left="284" w:hanging="284"/>
        <w:jc w:val="both"/>
        <w:rPr>
          <w:rFonts w:ascii="Titillium" w:hAnsi="Titillium" w:cs="Calibri"/>
          <w:sz w:val="18"/>
          <w:szCs w:val="18"/>
        </w:rPr>
      </w:pPr>
      <w:r>
        <w:rPr>
          <w:rFonts w:ascii="Titillium" w:hAnsi="Titillium" w:cs="Calibri"/>
          <w:sz w:val="18"/>
          <w:szCs w:val="18"/>
        </w:rPr>
        <w:t>contenere espressa menzione dell’oggetto del contratto di appalto e del soggetto garantito (stazione appaltante);</w:t>
      </w:r>
    </w:p>
    <w:p w14:paraId="3E0BC33C" w14:textId="77777777" w:rsidR="00276DF7" w:rsidRDefault="00276DF7" w:rsidP="00276DF7">
      <w:pPr>
        <w:numPr>
          <w:ilvl w:val="2"/>
          <w:numId w:val="33"/>
        </w:numPr>
        <w:shd w:val="clear" w:color="auto" w:fill="F2F2F2" w:themeFill="background1" w:themeFillShade="F2"/>
        <w:spacing w:before="60" w:after="60" w:line="276" w:lineRule="auto"/>
        <w:ind w:left="284" w:hanging="284"/>
        <w:jc w:val="both"/>
        <w:rPr>
          <w:rFonts w:ascii="Titillium" w:hAnsi="Titillium" w:cs="Calibri"/>
          <w:sz w:val="18"/>
          <w:szCs w:val="18"/>
        </w:rPr>
      </w:pPr>
      <w:r>
        <w:rPr>
          <w:rFonts w:ascii="Titillium" w:hAnsi="Titillium" w:cs="Calibri"/>
          <w:sz w:val="18"/>
          <w:szCs w:val="18"/>
        </w:rPr>
        <w:t>essere intestata a tutti gli operatori economici del costituito/costituendo raggruppamento temporaneo o consorzio ordinario o GEIE, ovvero a tutte le imprese retiste che partecipano alla gara ovvero, in caso di consorzi di cui all’articolo 65, comma 2 lettere b), c), d) del Codice, al solo consorzio;</w:t>
      </w:r>
    </w:p>
    <w:p w14:paraId="644DBCB8" w14:textId="77777777" w:rsidR="00276DF7" w:rsidRPr="00092FE3" w:rsidRDefault="00276DF7" w:rsidP="00276DF7">
      <w:pPr>
        <w:numPr>
          <w:ilvl w:val="2"/>
          <w:numId w:val="33"/>
        </w:numPr>
        <w:shd w:val="clear" w:color="auto" w:fill="F2F2F2" w:themeFill="background1" w:themeFillShade="F2"/>
        <w:spacing w:before="60" w:after="60" w:line="276" w:lineRule="auto"/>
        <w:ind w:left="284" w:hanging="284"/>
        <w:jc w:val="both"/>
        <w:rPr>
          <w:rFonts w:ascii="Titillium" w:hAnsi="Titillium" w:cs="Calibri"/>
          <w:sz w:val="18"/>
          <w:szCs w:val="18"/>
        </w:rPr>
      </w:pPr>
      <w:r w:rsidRPr="00092FE3">
        <w:rPr>
          <w:rFonts w:ascii="Titillium" w:hAnsi="Titillium" w:cs="Calibri"/>
          <w:sz w:val="18"/>
          <w:szCs w:val="18"/>
        </w:rPr>
        <w:t>essere conforme allo schema tipo approvato con decreto del Ministro dello sviluppo economico del 16 settembre 2022 n. 193;</w:t>
      </w:r>
    </w:p>
    <w:p w14:paraId="154DDC94" w14:textId="77777777" w:rsidR="00276DF7" w:rsidRDefault="00276DF7" w:rsidP="00276DF7">
      <w:pPr>
        <w:numPr>
          <w:ilvl w:val="2"/>
          <w:numId w:val="33"/>
        </w:numPr>
        <w:shd w:val="clear" w:color="auto" w:fill="F2F2F2" w:themeFill="background1" w:themeFillShade="F2"/>
        <w:spacing w:before="60" w:after="60" w:line="276" w:lineRule="auto"/>
        <w:ind w:left="284" w:hanging="284"/>
        <w:jc w:val="both"/>
      </w:pPr>
      <w:r>
        <w:rPr>
          <w:rFonts w:ascii="Titillium" w:hAnsi="Titillium" w:cs="Calibri"/>
          <w:sz w:val="18"/>
          <w:szCs w:val="18"/>
        </w:rPr>
        <w:t xml:space="preserve">avere validità per </w:t>
      </w:r>
      <w:r>
        <w:rPr>
          <w:rFonts w:ascii="Titillium" w:hAnsi="Titillium" w:cs="Calibri"/>
          <w:i/>
          <w:sz w:val="18"/>
          <w:szCs w:val="18"/>
        </w:rPr>
        <w:t xml:space="preserve">... </w:t>
      </w:r>
      <w:r>
        <w:rPr>
          <w:rFonts w:ascii="Titillium" w:hAnsi="Titillium" w:cs="Calibri"/>
          <w:sz w:val="18"/>
          <w:szCs w:val="18"/>
        </w:rPr>
        <w:t>giorni</w:t>
      </w:r>
      <w:r>
        <w:rPr>
          <w:rFonts w:ascii="Titillium" w:hAnsi="Titillium" w:cs="Calibri"/>
          <w:i/>
          <w:sz w:val="18"/>
          <w:szCs w:val="18"/>
        </w:rPr>
        <w:t xml:space="preserve"> [almeno 180 gg. - ovvero altro termine, in relazione alla durata prevista per il procedimento]</w:t>
      </w:r>
      <w:r>
        <w:rPr>
          <w:rFonts w:ascii="Titillium" w:hAnsi="Titillium" w:cs="Calibri"/>
          <w:sz w:val="18"/>
          <w:szCs w:val="18"/>
        </w:rPr>
        <w:t xml:space="preserve"> dalla data di presentazione dell’offerta; </w:t>
      </w:r>
    </w:p>
    <w:p w14:paraId="6713C54C" w14:textId="77777777" w:rsidR="00276DF7" w:rsidRDefault="00276DF7" w:rsidP="00276DF7">
      <w:pPr>
        <w:numPr>
          <w:ilvl w:val="2"/>
          <w:numId w:val="33"/>
        </w:numPr>
        <w:shd w:val="clear" w:color="auto" w:fill="F2F2F2" w:themeFill="background1" w:themeFillShade="F2"/>
        <w:spacing w:before="60" w:after="60" w:line="276" w:lineRule="auto"/>
        <w:ind w:left="284" w:hanging="284"/>
        <w:jc w:val="both"/>
        <w:rPr>
          <w:rFonts w:ascii="Titillium" w:hAnsi="Titillium" w:cs="Calibri"/>
          <w:sz w:val="18"/>
          <w:szCs w:val="18"/>
        </w:rPr>
      </w:pPr>
      <w:r>
        <w:rPr>
          <w:rFonts w:ascii="Titillium" w:hAnsi="Titillium" w:cs="Calibri"/>
          <w:sz w:val="18"/>
          <w:szCs w:val="18"/>
        </w:rPr>
        <w:t xml:space="preserve">prevedere espressamente: </w:t>
      </w:r>
    </w:p>
    <w:p w14:paraId="7C84E2E7" w14:textId="77777777" w:rsidR="00276DF7" w:rsidRDefault="00276DF7" w:rsidP="00276DF7">
      <w:pPr>
        <w:numPr>
          <w:ilvl w:val="3"/>
          <w:numId w:val="33"/>
        </w:numPr>
        <w:shd w:val="clear" w:color="auto" w:fill="F2F2F2" w:themeFill="background1" w:themeFillShade="F2"/>
        <w:spacing w:before="60" w:after="60" w:line="276" w:lineRule="auto"/>
        <w:ind w:left="709" w:hanging="425"/>
        <w:jc w:val="both"/>
        <w:rPr>
          <w:rFonts w:ascii="Titillium" w:hAnsi="Titillium" w:cs="Calibri"/>
          <w:sz w:val="18"/>
          <w:szCs w:val="18"/>
        </w:rPr>
      </w:pPr>
      <w:r>
        <w:rPr>
          <w:rFonts w:ascii="Titillium" w:hAnsi="Titillium" w:cs="Calibri"/>
          <w:sz w:val="18"/>
          <w:szCs w:val="18"/>
        </w:rPr>
        <w:t xml:space="preserve">la rinuncia al beneficio della preventiva escussione del debitore principale di cui all’articolo 1944 del Codice civile; </w:t>
      </w:r>
    </w:p>
    <w:p w14:paraId="1101A025" w14:textId="77777777" w:rsidR="00276DF7" w:rsidRDefault="00276DF7" w:rsidP="00276DF7">
      <w:pPr>
        <w:numPr>
          <w:ilvl w:val="3"/>
          <w:numId w:val="33"/>
        </w:numPr>
        <w:shd w:val="clear" w:color="auto" w:fill="F2F2F2" w:themeFill="background1" w:themeFillShade="F2"/>
        <w:spacing w:before="60" w:after="60" w:line="276" w:lineRule="auto"/>
        <w:ind w:left="709" w:hanging="425"/>
        <w:jc w:val="both"/>
        <w:rPr>
          <w:rFonts w:ascii="Titillium" w:hAnsi="Titillium" w:cs="Calibri"/>
          <w:sz w:val="18"/>
          <w:szCs w:val="18"/>
        </w:rPr>
      </w:pPr>
      <w:r>
        <w:rPr>
          <w:rFonts w:ascii="Titillium" w:hAnsi="Titillium" w:cs="Calibri"/>
          <w:sz w:val="18"/>
          <w:szCs w:val="18"/>
        </w:rPr>
        <w:t xml:space="preserve">la rinuncia ad eccepire la decorrenza dei termini di cui all’articolo 1957, secondo comma, del Codice civile; </w:t>
      </w:r>
    </w:p>
    <w:p w14:paraId="06697866" w14:textId="77777777" w:rsidR="00276DF7" w:rsidRDefault="00276DF7" w:rsidP="00276DF7">
      <w:pPr>
        <w:numPr>
          <w:ilvl w:val="3"/>
          <w:numId w:val="33"/>
        </w:numPr>
        <w:shd w:val="clear" w:color="auto" w:fill="F2F2F2" w:themeFill="background1" w:themeFillShade="F2"/>
        <w:spacing w:before="60" w:after="60" w:line="276" w:lineRule="auto"/>
        <w:ind w:left="709" w:hanging="425"/>
        <w:jc w:val="both"/>
      </w:pPr>
      <w:r>
        <w:rPr>
          <w:rFonts w:ascii="Titillium" w:hAnsi="Titillium" w:cs="Calibri"/>
          <w:sz w:val="18"/>
          <w:szCs w:val="18"/>
        </w:rPr>
        <w:t xml:space="preserve">l’operatività della stessa entro quindici giorni a semplice richiesta scritta della stazione appaltante. </w:t>
      </w:r>
    </w:p>
    <w:p w14:paraId="173C8313" w14:textId="77777777" w:rsidR="00276DF7" w:rsidRDefault="00276DF7" w:rsidP="00276DF7">
      <w:pPr>
        <w:numPr>
          <w:ilvl w:val="0"/>
          <w:numId w:val="34"/>
        </w:numPr>
        <w:shd w:val="clear" w:color="auto" w:fill="F2F2F2" w:themeFill="background1" w:themeFillShade="F2"/>
        <w:spacing w:before="60" w:after="60" w:line="276" w:lineRule="auto"/>
        <w:ind w:left="284" w:hanging="284"/>
        <w:jc w:val="both"/>
      </w:pPr>
      <w:bookmarkStart w:id="1770" w:name="_Ref496519438"/>
      <w:r w:rsidRPr="00865266">
        <w:rPr>
          <w:rFonts w:ascii="Titillium" w:hAnsi="Titillium" w:cs="Calibri"/>
          <w:b/>
          <w:i/>
          <w:iCs/>
          <w:sz w:val="18"/>
          <w:szCs w:val="18"/>
        </w:rPr>
        <w:t>[facoltativo]</w:t>
      </w:r>
      <w:r>
        <w:rPr>
          <w:rFonts w:ascii="Titillium" w:hAnsi="Titillium" w:cs="Calibri"/>
          <w:sz w:val="18"/>
          <w:szCs w:val="18"/>
        </w:rPr>
        <w:t xml:space="preserve"> essere corredata dall’impegno del garante a rinnovare la garanzia ai sensi dell’articolo 106, comma 5 del Codice, su richiesta della stazione appaltante per ulteriori ... </w:t>
      </w:r>
      <w:r>
        <w:rPr>
          <w:rFonts w:ascii="Titillium" w:hAnsi="Titillium" w:cs="Calibri"/>
          <w:i/>
          <w:iCs/>
          <w:sz w:val="18"/>
          <w:szCs w:val="18"/>
        </w:rPr>
        <w:t xml:space="preserve">[indicare] </w:t>
      </w:r>
      <w:r>
        <w:rPr>
          <w:rFonts w:ascii="Titillium" w:hAnsi="Titillium" w:cs="Calibri"/>
          <w:sz w:val="18"/>
          <w:szCs w:val="18"/>
        </w:rPr>
        <w:t>giorni, nel caso in cui al momento della sua scadenza non sia ancora intervenuta l’aggiudicazione</w:t>
      </w:r>
      <w:bookmarkEnd w:id="1770"/>
      <w:r>
        <w:rPr>
          <w:rFonts w:ascii="Titillium" w:hAnsi="Titillium" w:cs="Calibri"/>
          <w:sz w:val="18"/>
          <w:szCs w:val="18"/>
        </w:rPr>
        <w:t>.</w:t>
      </w:r>
    </w:p>
    <w:p w14:paraId="077D3537" w14:textId="77777777" w:rsidR="00276DF7" w:rsidRPr="0040308B" w:rsidRDefault="00276DF7" w:rsidP="00276DF7">
      <w:pPr>
        <w:shd w:val="clear" w:color="auto" w:fill="F2F2F2" w:themeFill="background1" w:themeFillShade="F2"/>
        <w:spacing w:before="120" w:after="60"/>
      </w:pPr>
      <w:r>
        <w:rPr>
          <w:rFonts w:ascii="Titillium" w:hAnsi="Titillium" w:cs="Calibri"/>
          <w:sz w:val="18"/>
          <w:szCs w:val="18"/>
        </w:rPr>
        <w:t xml:space="preserve">In caso di richiesta di estensione della durata e validità dell’offerta e della garanzia fideiussoria, il concorrente </w:t>
      </w:r>
      <w:r w:rsidRPr="00276DF7">
        <w:rPr>
          <w:rFonts w:ascii="Titillium" w:hAnsi="Titillium" w:cs="Calibri"/>
          <w:color w:val="000000"/>
          <w:sz w:val="18"/>
          <w:szCs w:val="18"/>
        </w:rPr>
        <w:t xml:space="preserve">potrà produrre </w:t>
      </w:r>
      <w:r>
        <w:rPr>
          <w:rFonts w:ascii="Titillium" w:hAnsi="Titillium" w:cs="Calibri"/>
          <w:sz w:val="18"/>
          <w:szCs w:val="18"/>
        </w:rPr>
        <w:t xml:space="preserve">nelle medesime forme di cui sopra una nuova garanzia provvisoria del medesimo o di altro garante, in sostituzione della precedente, a condizione che abbia </w:t>
      </w:r>
      <w:r w:rsidRPr="0040308B">
        <w:rPr>
          <w:rFonts w:ascii="Titillium" w:hAnsi="Titillium" w:cs="Calibri"/>
          <w:sz w:val="18"/>
          <w:szCs w:val="18"/>
        </w:rPr>
        <w:t>espressa decorrenza dalla data di presentazione dell’offerta</w:t>
      </w:r>
      <w:r>
        <w:rPr>
          <w:rFonts w:ascii="Titillium" w:hAnsi="Titillium" w:cs="Calibri"/>
          <w:sz w:val="18"/>
          <w:szCs w:val="18"/>
        </w:rPr>
        <w:t>.</w:t>
      </w:r>
    </w:p>
    <w:p w14:paraId="696F3321"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Ai sensi dell’art. 106, comma 8, del Codice l’importo della garanzia è ridotto nei termini di seguito indicati.</w:t>
      </w:r>
    </w:p>
    <w:p w14:paraId="6A096302" w14:textId="77777777" w:rsidR="00276DF7" w:rsidRPr="00B95FCA" w:rsidRDefault="00276DF7" w:rsidP="00276DF7">
      <w:pPr>
        <w:pStyle w:val="Paragrafoelenco"/>
        <w:numPr>
          <w:ilvl w:val="1"/>
          <w:numId w:val="78"/>
        </w:numPr>
        <w:shd w:val="clear" w:color="auto" w:fill="F2F2F2" w:themeFill="background1" w:themeFillShade="F2"/>
        <w:spacing w:before="60" w:after="60"/>
        <w:ind w:left="284"/>
        <w:rPr>
          <w:rFonts w:ascii="Titillium" w:hAnsi="Titillium" w:cs="Calibri"/>
          <w:sz w:val="18"/>
          <w:szCs w:val="18"/>
        </w:rPr>
      </w:pPr>
      <w:r>
        <w:rPr>
          <w:rFonts w:ascii="Titillium" w:hAnsi="Titillium" w:cs="Calibri"/>
          <w:sz w:val="18"/>
          <w:szCs w:val="18"/>
        </w:rPr>
        <w:t>R</w:t>
      </w:r>
      <w:r w:rsidRPr="00B95FCA">
        <w:rPr>
          <w:rFonts w:ascii="Titillium" w:hAnsi="Titillium" w:cs="Calibri"/>
          <w:sz w:val="18"/>
          <w:szCs w:val="18"/>
        </w:rPr>
        <w:t>iduzione del 30% in caso di possesso della certificazione di qualità conforme alle norme europee della serie UNI CEI ISO 9000. In caso di partecipazione in forma associata, la riduzione si ottiene:</w:t>
      </w:r>
    </w:p>
    <w:p w14:paraId="052844C2" w14:textId="77777777" w:rsidR="00276DF7" w:rsidRPr="00605270" w:rsidRDefault="00276DF7" w:rsidP="00276DF7">
      <w:pPr>
        <w:pStyle w:val="Paragrafoelenco"/>
        <w:numPr>
          <w:ilvl w:val="1"/>
          <w:numId w:val="40"/>
        </w:numPr>
        <w:shd w:val="clear" w:color="auto" w:fill="F2F2F2" w:themeFill="background1" w:themeFillShade="F2"/>
        <w:spacing w:before="60" w:after="60"/>
        <w:ind w:left="567" w:hanging="284"/>
        <w:rPr>
          <w:rFonts w:ascii="Titillium" w:hAnsi="Titillium" w:cs="Calibri"/>
          <w:sz w:val="18"/>
          <w:szCs w:val="18"/>
        </w:rPr>
      </w:pPr>
      <w:r>
        <w:rPr>
          <w:rFonts w:ascii="Titillium" w:hAnsi="Titillium" w:cs="Calibri"/>
          <w:sz w:val="18"/>
          <w:szCs w:val="18"/>
        </w:rPr>
        <w:t>per i</w:t>
      </w:r>
      <w:r w:rsidRPr="00605270">
        <w:rPr>
          <w:rFonts w:ascii="Titillium" w:hAnsi="Titillium" w:cs="Calibri"/>
          <w:sz w:val="18"/>
          <w:szCs w:val="18"/>
        </w:rPr>
        <w:t xml:space="preserve"> soggetti di cui all’articolo </w:t>
      </w:r>
      <w:r>
        <w:rPr>
          <w:rFonts w:ascii="Titillium" w:hAnsi="Titillium" w:cs="Calibri"/>
          <w:sz w:val="18"/>
          <w:szCs w:val="18"/>
        </w:rPr>
        <w:t>6</w:t>
      </w:r>
      <w:r w:rsidRPr="00605270">
        <w:rPr>
          <w:rFonts w:ascii="Titillium" w:hAnsi="Titillium" w:cs="Calibri"/>
          <w:sz w:val="18"/>
          <w:szCs w:val="18"/>
        </w:rPr>
        <w:t xml:space="preserve">5, comma 2, lettere e), f), g), </w:t>
      </w:r>
      <w:r>
        <w:rPr>
          <w:rFonts w:ascii="Titillium" w:hAnsi="Titillium" w:cs="Calibri"/>
          <w:sz w:val="18"/>
          <w:szCs w:val="18"/>
        </w:rPr>
        <w:t xml:space="preserve">h) </w:t>
      </w:r>
      <w:r w:rsidRPr="00605270">
        <w:rPr>
          <w:rFonts w:ascii="Titillium" w:hAnsi="Titillium" w:cs="Calibri"/>
          <w:sz w:val="18"/>
          <w:szCs w:val="18"/>
        </w:rPr>
        <w:t>del Codice solo se tutt</w:t>
      </w:r>
      <w:r>
        <w:rPr>
          <w:rFonts w:ascii="Titillium" w:hAnsi="Titillium" w:cs="Calibri"/>
          <w:sz w:val="18"/>
          <w:szCs w:val="18"/>
        </w:rPr>
        <w:t xml:space="preserve">i soggetti </w:t>
      </w:r>
      <w:r w:rsidRPr="00605270">
        <w:rPr>
          <w:rFonts w:ascii="Titillium" w:hAnsi="Titillium" w:cs="Calibri"/>
          <w:sz w:val="18"/>
          <w:szCs w:val="18"/>
        </w:rPr>
        <w:t>che costituiscono il raggruppamento, consorzio ordinario o GEIE, o</w:t>
      </w:r>
      <w:r>
        <w:rPr>
          <w:rFonts w:ascii="Titillium" w:hAnsi="Titillium" w:cs="Calibri"/>
          <w:sz w:val="18"/>
          <w:szCs w:val="18"/>
        </w:rPr>
        <w:t xml:space="preserve"> </w:t>
      </w:r>
      <w:r w:rsidRPr="00605270">
        <w:rPr>
          <w:rFonts w:ascii="Titillium" w:hAnsi="Titillium" w:cs="Calibri"/>
          <w:sz w:val="18"/>
          <w:szCs w:val="18"/>
        </w:rPr>
        <w:t>tutte le imprese retiste che partecipano alla gara siano in possesso della certificazione;</w:t>
      </w:r>
    </w:p>
    <w:p w14:paraId="74E271B5" w14:textId="77777777" w:rsidR="00276DF7" w:rsidRPr="00092FE3" w:rsidRDefault="00276DF7" w:rsidP="00276DF7">
      <w:pPr>
        <w:pStyle w:val="Paragrafoelenco"/>
        <w:numPr>
          <w:ilvl w:val="1"/>
          <w:numId w:val="40"/>
        </w:numPr>
        <w:shd w:val="clear" w:color="auto" w:fill="F2F2F2" w:themeFill="background1" w:themeFillShade="F2"/>
        <w:spacing w:before="60" w:after="60"/>
        <w:ind w:left="567" w:hanging="284"/>
        <w:rPr>
          <w:rFonts w:ascii="Titillium" w:hAnsi="Titillium" w:cs="Calibri"/>
          <w:sz w:val="18"/>
          <w:szCs w:val="18"/>
        </w:rPr>
      </w:pPr>
      <w:r w:rsidRPr="00092FE3">
        <w:rPr>
          <w:rFonts w:ascii="Titillium" w:hAnsi="Titillium" w:cs="Calibri"/>
          <w:sz w:val="18"/>
          <w:szCs w:val="18"/>
        </w:rPr>
        <w:t>per i consorzi di cui all’articolo 65, comma 2, lettere b), c), d) del Codice, s</w:t>
      </w:r>
      <w:r w:rsidRPr="00092FE3">
        <w:rPr>
          <w:rFonts w:ascii="Titillium" w:hAnsi="Titillium" w:cs="Calibri"/>
          <w:bCs/>
          <w:sz w:val="18"/>
          <w:szCs w:val="18"/>
        </w:rPr>
        <w:t>e il Consorzio ha dichiarato in fase di offerta che intende eseguire con risorse proprie, solo se il Consorzio possiede la predetta certificazione;  se  il Consorzio ha indicato in fase di offerta che intende assegnare</w:t>
      </w:r>
      <w:r w:rsidRPr="00092FE3">
        <w:rPr>
          <w:rFonts w:ascii="Titillium" w:hAnsi="Titillium" w:cs="Calibri"/>
          <w:sz w:val="18"/>
          <w:szCs w:val="18"/>
        </w:rPr>
        <w:t xml:space="preserve"> parte delle prestazioni a una o più consorziate individuate nell’offerta, solo se sia il Consorzio sia la consorziata designata posseggono la predetta certificazione, o in alternativa</w:t>
      </w:r>
      <w:r>
        <w:rPr>
          <w:rFonts w:ascii="Titillium" w:hAnsi="Titillium" w:cs="Calibri"/>
          <w:sz w:val="18"/>
          <w:szCs w:val="18"/>
        </w:rPr>
        <w:t>,</w:t>
      </w:r>
      <w:r w:rsidRPr="00092FE3">
        <w:rPr>
          <w:rFonts w:ascii="Titillium" w:hAnsi="Titillium" w:cs="Calibri"/>
          <w:i/>
          <w:sz w:val="18"/>
          <w:szCs w:val="18"/>
        </w:rPr>
        <w:t xml:space="preserve"> </w:t>
      </w:r>
      <w:r w:rsidRPr="00092FE3">
        <w:rPr>
          <w:rFonts w:ascii="Titillium" w:hAnsi="Titillium" w:cs="Calibri"/>
          <w:sz w:val="18"/>
          <w:szCs w:val="18"/>
        </w:rPr>
        <w:t xml:space="preserve">se il solo Consorzio possiede la predetta certificazione e l’ambito di certificazione del suo sistema gestionale include la verifica che l’erogazione della prestazione da parte della consorziata rispetti gli standard fissati dalla certificazione. </w:t>
      </w:r>
    </w:p>
    <w:p w14:paraId="2E31258A" w14:textId="77777777" w:rsidR="00276DF7" w:rsidRDefault="00276DF7" w:rsidP="00276DF7">
      <w:pPr>
        <w:pStyle w:val="Paragrafoelenco"/>
        <w:numPr>
          <w:ilvl w:val="1"/>
          <w:numId w:val="78"/>
        </w:numPr>
        <w:shd w:val="clear" w:color="auto" w:fill="F2F2F2" w:themeFill="background1" w:themeFillShade="F2"/>
        <w:spacing w:before="60" w:after="60"/>
        <w:ind w:left="284"/>
        <w:rPr>
          <w:rFonts w:ascii="Titillium" w:hAnsi="Titillium" w:cs="Calibri"/>
          <w:sz w:val="18"/>
          <w:szCs w:val="18"/>
        </w:rPr>
      </w:pPr>
      <w:r w:rsidRPr="00AA4E06">
        <w:rPr>
          <w:rFonts w:ascii="Titillium" w:hAnsi="Titillium" w:cs="Calibri"/>
          <w:sz w:val="18"/>
          <w:szCs w:val="18"/>
        </w:rPr>
        <w:t>Riduzione del 50% in caso di partecipazione di micro, piccole e medie imprese e di raggruppamenti di operatori economici o consorzi ordinari costituiti esclusivamente da micro, piccole e medie imprese. Tale riduzione non è cumulabile con quella indicata alla lett. a).</w:t>
      </w:r>
    </w:p>
    <w:p w14:paraId="2E79F17B" w14:textId="77777777" w:rsidR="00276DF7" w:rsidRDefault="00276DF7" w:rsidP="00276DF7">
      <w:pPr>
        <w:pStyle w:val="Paragrafoelenco"/>
        <w:numPr>
          <w:ilvl w:val="1"/>
          <w:numId w:val="78"/>
        </w:numPr>
        <w:shd w:val="clear" w:color="auto" w:fill="F2F2F2" w:themeFill="background1" w:themeFillShade="F2"/>
        <w:spacing w:before="60" w:after="60"/>
        <w:ind w:left="284"/>
        <w:rPr>
          <w:rFonts w:ascii="Titillium" w:hAnsi="Titillium" w:cs="Calibri"/>
          <w:sz w:val="18"/>
          <w:szCs w:val="18"/>
        </w:rPr>
      </w:pPr>
      <w:r w:rsidRPr="001A646D">
        <w:rPr>
          <w:i/>
          <w:iCs/>
        </w:rPr>
        <w:lastRenderedPageBreak/>
        <w:t>[</w:t>
      </w:r>
      <w:r w:rsidRPr="001A646D">
        <w:rPr>
          <w:rFonts w:ascii="Titillium" w:hAnsi="Titillium" w:cs="Calibri"/>
          <w:i/>
          <w:iCs/>
          <w:sz w:val="18"/>
          <w:szCs w:val="18"/>
        </w:rPr>
        <w:t>Nel caso in cui la stazione appaltante sia abilitata ad effettuare le verifiche di veridicità sulle garanzie fideiussorie gestite tramite ricorso a piattaforme telematiche]</w:t>
      </w:r>
      <w:r>
        <w:rPr>
          <w:rFonts w:ascii="Titillium" w:hAnsi="Titillium" w:cs="Calibri"/>
          <w:sz w:val="18"/>
          <w:szCs w:val="18"/>
        </w:rPr>
        <w:t xml:space="preserve"> Riduzione del 10% cumulabile con quelle di cui alle precedenti lettere a) e b) in caso di presentazione di garanzie fideiussorie gestite mediante ricorso a piattaforme telematiche;</w:t>
      </w:r>
    </w:p>
    <w:p w14:paraId="1731C710" w14:textId="77777777" w:rsidR="00276DF7" w:rsidRDefault="00276DF7" w:rsidP="00276DF7">
      <w:pPr>
        <w:pStyle w:val="Paragrafoelenco"/>
        <w:numPr>
          <w:ilvl w:val="1"/>
          <w:numId w:val="78"/>
        </w:numPr>
        <w:shd w:val="clear" w:color="auto" w:fill="F2F2F2" w:themeFill="background1" w:themeFillShade="F2"/>
        <w:spacing w:before="60" w:after="60"/>
        <w:ind w:left="284"/>
        <w:rPr>
          <w:rFonts w:ascii="Titillium" w:hAnsi="Titillium" w:cs="Calibri"/>
          <w:sz w:val="18"/>
          <w:szCs w:val="18"/>
        </w:rPr>
      </w:pPr>
      <w:r w:rsidRPr="00AA65BA">
        <w:rPr>
          <w:rFonts w:ascii="Titillium" w:hAnsi="Titillium" w:cs="Calibri"/>
          <w:sz w:val="18"/>
          <w:szCs w:val="18"/>
        </w:rPr>
        <w:t xml:space="preserve">Riduzione del …. % </w:t>
      </w:r>
      <w:r w:rsidRPr="00AA65BA">
        <w:rPr>
          <w:rFonts w:ascii="Titillium" w:hAnsi="Titillium" w:cs="Calibri"/>
          <w:i/>
          <w:iCs/>
          <w:sz w:val="18"/>
          <w:szCs w:val="18"/>
        </w:rPr>
        <w:t>[la stazione appaltante indica una percentuale di riduzione fino ad un massimo del 20%]</w:t>
      </w:r>
      <w:r w:rsidRPr="00AA65BA">
        <w:rPr>
          <w:rFonts w:ascii="Titillium" w:hAnsi="Titillium" w:cs="Calibri"/>
          <w:sz w:val="18"/>
          <w:szCs w:val="18"/>
        </w:rPr>
        <w:t xml:space="preserve"> in caso di possesso di una o più delle seguenti certificazioni/marchi: …… </w:t>
      </w:r>
      <w:r w:rsidRPr="00AA65BA">
        <w:rPr>
          <w:rFonts w:ascii="Titillium" w:hAnsi="Titillium" w:cs="Calibri"/>
          <w:i/>
          <w:iCs/>
          <w:sz w:val="18"/>
          <w:szCs w:val="18"/>
        </w:rPr>
        <w:t>[la stazione appaltante individua le certificazioni che danno diritto alla riduzione tra quelle indicate all’allegato II.13 del codice]</w:t>
      </w:r>
      <w:r w:rsidRPr="00AA65BA">
        <w:rPr>
          <w:rFonts w:ascii="Titillium" w:hAnsi="Titillium" w:cs="Calibri"/>
          <w:sz w:val="18"/>
          <w:szCs w:val="18"/>
        </w:rPr>
        <w:t>. Tale riduzione è cumulabile con quelle indicate alle lett. a) e b). In caso di partecipazione in forma associata la riduzione si ottiene</w:t>
      </w:r>
      <w:r>
        <w:rPr>
          <w:rFonts w:ascii="Titillium" w:hAnsi="Titillium" w:cs="Calibri"/>
          <w:sz w:val="18"/>
          <w:szCs w:val="18"/>
        </w:rPr>
        <w:t>:</w:t>
      </w:r>
    </w:p>
    <w:p w14:paraId="6BAE804F" w14:textId="77777777" w:rsidR="00276DF7" w:rsidRDefault="00276DF7" w:rsidP="00276DF7">
      <w:pPr>
        <w:pStyle w:val="Paragrafoelenco"/>
        <w:numPr>
          <w:ilvl w:val="1"/>
          <w:numId w:val="40"/>
        </w:numPr>
        <w:shd w:val="clear" w:color="auto" w:fill="F2F2F2" w:themeFill="background1" w:themeFillShade="F2"/>
        <w:spacing w:before="60" w:after="60"/>
        <w:ind w:left="567" w:hanging="284"/>
        <w:rPr>
          <w:rFonts w:ascii="Titillium" w:hAnsi="Titillium" w:cs="Calibri"/>
          <w:sz w:val="18"/>
          <w:szCs w:val="18"/>
        </w:rPr>
      </w:pPr>
      <w:r w:rsidRPr="00AA65BA">
        <w:rPr>
          <w:rFonts w:ascii="Titillium" w:hAnsi="Titillium" w:cs="Calibri"/>
          <w:sz w:val="18"/>
          <w:szCs w:val="18"/>
        </w:rPr>
        <w:t xml:space="preserve">per i soggetti di cui all’articolo 65, comma 2, lettere e), f), g), h) del Codice </w:t>
      </w:r>
      <w:r>
        <w:rPr>
          <w:rFonts w:ascii="Titillium" w:hAnsi="Titillium" w:cs="Calibri"/>
          <w:sz w:val="18"/>
          <w:szCs w:val="18"/>
        </w:rPr>
        <w:t xml:space="preserve">se uno dei soggetti </w:t>
      </w:r>
      <w:r w:rsidRPr="00605270">
        <w:rPr>
          <w:rFonts w:ascii="Titillium" w:hAnsi="Titillium" w:cs="Calibri"/>
          <w:sz w:val="18"/>
          <w:szCs w:val="18"/>
        </w:rPr>
        <w:t>che costituiscono il raggruppamento, consorzio ordinario o GEIE, o</w:t>
      </w:r>
      <w:r>
        <w:rPr>
          <w:rFonts w:ascii="Titillium" w:hAnsi="Titillium" w:cs="Calibri"/>
          <w:sz w:val="18"/>
          <w:szCs w:val="18"/>
        </w:rPr>
        <w:t xml:space="preserve"> una delle</w:t>
      </w:r>
      <w:r w:rsidRPr="00605270">
        <w:rPr>
          <w:rFonts w:ascii="Titillium" w:hAnsi="Titillium" w:cs="Calibri"/>
          <w:sz w:val="18"/>
          <w:szCs w:val="18"/>
        </w:rPr>
        <w:t xml:space="preserve"> imprese retiste che partecipano alla gara sia in possesso della certificazione</w:t>
      </w:r>
      <w:r w:rsidRPr="00AA65BA">
        <w:rPr>
          <w:rFonts w:ascii="Titillium" w:hAnsi="Titillium" w:cs="Calibri"/>
          <w:sz w:val="18"/>
          <w:szCs w:val="18"/>
        </w:rPr>
        <w:t>;</w:t>
      </w:r>
    </w:p>
    <w:p w14:paraId="207D4C30" w14:textId="77777777" w:rsidR="00276DF7" w:rsidRPr="00092FE3" w:rsidRDefault="00276DF7" w:rsidP="00276DF7">
      <w:pPr>
        <w:pStyle w:val="Paragrafoelenco"/>
        <w:numPr>
          <w:ilvl w:val="1"/>
          <w:numId w:val="40"/>
        </w:numPr>
        <w:shd w:val="clear" w:color="auto" w:fill="F2F2F2" w:themeFill="background1" w:themeFillShade="F2"/>
        <w:spacing w:before="60" w:after="60"/>
        <w:ind w:left="567" w:hanging="284"/>
        <w:rPr>
          <w:rFonts w:ascii="Titillium" w:hAnsi="Titillium" w:cs="Calibri"/>
          <w:sz w:val="18"/>
          <w:szCs w:val="18"/>
        </w:rPr>
      </w:pPr>
      <w:r w:rsidRPr="00092FE3">
        <w:rPr>
          <w:rFonts w:ascii="Titillium" w:hAnsi="Titillium" w:cs="Calibri"/>
          <w:sz w:val="18"/>
          <w:szCs w:val="18"/>
        </w:rPr>
        <w:t xml:space="preserve">per i consorzi di cui all’articolo 65, comma 2, lettere b), c), d) del Codice se il consorzio o una delle consorziate sia in possesso della certificazione; </w:t>
      </w:r>
    </w:p>
    <w:p w14:paraId="01E0A016" w14:textId="77777777" w:rsidR="00276DF7" w:rsidRDefault="00276DF7" w:rsidP="00276DF7">
      <w:pPr>
        <w:shd w:val="clear" w:color="auto" w:fill="F2F2F2" w:themeFill="background1" w:themeFillShade="F2"/>
        <w:spacing w:before="60" w:after="60"/>
        <w:rPr>
          <w:rFonts w:ascii="Titillium" w:hAnsi="Titillium" w:cs="Calibri"/>
          <w:sz w:val="18"/>
          <w:szCs w:val="18"/>
        </w:rPr>
      </w:pPr>
    </w:p>
    <w:p w14:paraId="216A2CE2" w14:textId="77777777" w:rsidR="00276DF7" w:rsidRDefault="00276DF7" w:rsidP="00276DF7">
      <w:pPr>
        <w:shd w:val="clear" w:color="auto" w:fill="F2F2F2" w:themeFill="background1" w:themeFillShade="F2"/>
        <w:spacing w:before="60" w:after="60"/>
      </w:pPr>
      <w:r w:rsidRPr="00690F06">
        <w:rPr>
          <w:rFonts w:ascii="Titillium" w:hAnsi="Titillium" w:cs="Calibri"/>
          <w:sz w:val="18"/>
          <w:szCs w:val="18"/>
        </w:rPr>
        <w:t xml:space="preserve">Per fruire delle riduzioni di cui all’articolo </w:t>
      </w:r>
      <w:r>
        <w:rPr>
          <w:rFonts w:ascii="Titillium" w:hAnsi="Titillium" w:cs="Calibri"/>
          <w:sz w:val="18"/>
          <w:szCs w:val="18"/>
        </w:rPr>
        <w:t>106</w:t>
      </w:r>
      <w:r w:rsidRPr="00690F06">
        <w:rPr>
          <w:rFonts w:ascii="Titillium" w:hAnsi="Titillium" w:cs="Calibri"/>
          <w:sz w:val="18"/>
          <w:szCs w:val="18"/>
        </w:rPr>
        <w:t xml:space="preserve">, comma </w:t>
      </w:r>
      <w:r>
        <w:rPr>
          <w:rFonts w:ascii="Titillium" w:hAnsi="Titillium" w:cs="Calibri"/>
          <w:sz w:val="18"/>
          <w:szCs w:val="18"/>
        </w:rPr>
        <w:t>8</w:t>
      </w:r>
      <w:r w:rsidRPr="00690F06">
        <w:rPr>
          <w:rFonts w:ascii="Titillium" w:hAnsi="Titillium" w:cs="Calibri"/>
          <w:sz w:val="18"/>
          <w:szCs w:val="18"/>
        </w:rPr>
        <w:t xml:space="preserve"> del Codice, il concorrente dichiara nella domanda di partecipazione </w:t>
      </w:r>
      <w:r w:rsidRPr="00092FE3">
        <w:rPr>
          <w:rFonts w:ascii="Titillium" w:hAnsi="Titillium" w:cs="Calibri"/>
          <w:sz w:val="18"/>
          <w:szCs w:val="18"/>
        </w:rPr>
        <w:t xml:space="preserve">il possesso delle certificazioni </w:t>
      </w:r>
      <w:r>
        <w:rPr>
          <w:rFonts w:ascii="Titillium" w:hAnsi="Titillium" w:cs="Calibri"/>
          <w:sz w:val="18"/>
          <w:szCs w:val="18"/>
        </w:rPr>
        <w:t>e</w:t>
      </w:r>
      <w:r w:rsidRPr="00092FE3">
        <w:rPr>
          <w:rFonts w:ascii="Titillium" w:hAnsi="Titillium" w:cs="Calibri"/>
          <w:sz w:val="18"/>
          <w:szCs w:val="18"/>
        </w:rPr>
        <w:t xml:space="preserve"> inserisce copia delle certificazioni possedute</w:t>
      </w:r>
      <w:r>
        <w:rPr>
          <w:rFonts w:ascii="Titillium" w:hAnsi="Titillium" w:cs="Calibri"/>
          <w:sz w:val="18"/>
          <w:szCs w:val="18"/>
        </w:rPr>
        <w:t xml:space="preserve"> qualora non già presenti nel fascicolo virtuale</w:t>
      </w:r>
      <w:r w:rsidRPr="00092FE3">
        <w:rPr>
          <w:rFonts w:ascii="Titillium" w:hAnsi="Titillium" w:cs="Calibri"/>
          <w:sz w:val="18"/>
          <w:szCs w:val="18"/>
        </w:rPr>
        <w:t>.</w:t>
      </w:r>
    </w:p>
    <w:p w14:paraId="0148991F" w14:textId="77777777" w:rsidR="00276DF7" w:rsidRPr="00CB2EA8" w:rsidRDefault="00276DF7" w:rsidP="00276DF7">
      <w:pPr>
        <w:shd w:val="clear" w:color="auto" w:fill="F2F2F2" w:themeFill="background1" w:themeFillShade="F2"/>
        <w:spacing w:before="60" w:after="60"/>
      </w:pPr>
      <w:r w:rsidRPr="00CB2EA8">
        <w:rPr>
          <w:rFonts w:ascii="Titillium" w:hAnsi="Titillium" w:cs="Calibri"/>
          <w:sz w:val="18"/>
          <w:szCs w:val="18"/>
        </w:rPr>
        <w:t xml:space="preserve">È sanabile, mediante soccorso istruttorio, la mancata presentazione della garanzia provvisoria solo a condizione che sia stata già costituita prima della presentazione dell’offerta. </w:t>
      </w:r>
      <w:r w:rsidRPr="00CB2EA8">
        <w:rPr>
          <w:rFonts w:ascii="Calibri" w:hAnsi="Calibri" w:cs="Calibri"/>
          <w:sz w:val="20"/>
          <w:szCs w:val="20"/>
        </w:rPr>
        <w:t xml:space="preserve"> </w:t>
      </w:r>
    </w:p>
    <w:p w14:paraId="5926FB86" w14:textId="77777777" w:rsidR="00276DF7" w:rsidRDefault="00276DF7" w:rsidP="00276DF7">
      <w:pPr>
        <w:shd w:val="clear" w:color="auto" w:fill="F2F2F2" w:themeFill="background1" w:themeFillShade="F2"/>
        <w:spacing w:before="60" w:after="60"/>
      </w:pPr>
      <w:r w:rsidRPr="00CB2EA8">
        <w:rPr>
          <w:rFonts w:ascii="Titillium" w:hAnsi="Titillium" w:cs="Calibri"/>
          <w:bCs/>
          <w:sz w:val="18"/>
          <w:szCs w:val="18"/>
        </w:rPr>
        <w:t xml:space="preserve">Non </w:t>
      </w:r>
      <w:r w:rsidRPr="00CB2EA8">
        <w:rPr>
          <w:rFonts w:ascii="Titillium" w:hAnsi="Titillium" w:cs="Calibri" w:hint="eastAsia"/>
          <w:bCs/>
          <w:sz w:val="18"/>
          <w:szCs w:val="18"/>
        </w:rPr>
        <w:t>è</w:t>
      </w:r>
      <w:r w:rsidRPr="00CB2EA8">
        <w:rPr>
          <w:rFonts w:ascii="Titillium" w:hAnsi="Titillium" w:cs="Calibri"/>
          <w:bCs/>
          <w:sz w:val="18"/>
          <w:szCs w:val="18"/>
        </w:rPr>
        <w:t xml:space="preserve"> sanabile</w:t>
      </w:r>
      <w:r w:rsidRPr="00CB2EA8">
        <w:rPr>
          <w:rFonts w:ascii="Titillium" w:hAnsi="Titillium" w:cs="Calibri"/>
          <w:sz w:val="18"/>
          <w:szCs w:val="18"/>
        </w:rPr>
        <w:t xml:space="preserve"> - e quindi è causa di esclusione - la sottoscrizione della garanzia provvisoria da parte di un soggetto non legittimato a rilasciare la garanzia o non autorizzato ad impegnare il garante.</w:t>
      </w:r>
      <w:r>
        <w:rPr>
          <w:rFonts w:ascii="Titillium" w:hAnsi="Titillium" w:cs="Calibri"/>
          <w:sz w:val="18"/>
          <w:szCs w:val="18"/>
        </w:rPr>
        <w:t xml:space="preserve"> </w:t>
      </w:r>
    </w:p>
    <w:p w14:paraId="478C2589" w14:textId="77777777" w:rsidR="00276DF7" w:rsidRDefault="00276DF7" w:rsidP="00276DF7">
      <w:pPr>
        <w:pStyle w:val="Titolo2"/>
        <w:numPr>
          <w:ilvl w:val="0"/>
          <w:numId w:val="4"/>
        </w:numPr>
        <w:shd w:val="clear" w:color="auto" w:fill="F2F2F2" w:themeFill="background1" w:themeFillShade="F2"/>
        <w:ind w:left="357" w:hanging="357"/>
      </w:pPr>
      <w:r>
        <w:rPr>
          <w:rFonts w:ascii="Titillium" w:hAnsi="Titillium"/>
          <w:i/>
          <w:sz w:val="18"/>
          <w:szCs w:val="18"/>
          <w:lang w:val="it-IT"/>
        </w:rPr>
        <w:t xml:space="preserve"> </w:t>
      </w:r>
      <w:bookmarkStart w:id="1771" w:name="_Toc139549433"/>
      <w:r>
        <w:rPr>
          <w:rFonts w:ascii="Titillium" w:hAnsi="Titillium"/>
          <w:i/>
          <w:sz w:val="18"/>
          <w:szCs w:val="18"/>
          <w:lang w:val="it-IT"/>
        </w:rPr>
        <w:t>[FACOLTATIVO</w:t>
      </w:r>
      <w:r>
        <w:rPr>
          <w:rFonts w:ascii="Titillium" w:hAnsi="Titillium"/>
          <w:i/>
          <w:caps w:val="0"/>
          <w:sz w:val="18"/>
          <w:szCs w:val="18"/>
          <w:lang w:val="it-IT"/>
        </w:rPr>
        <w:t>]</w:t>
      </w:r>
      <w:r>
        <w:rPr>
          <w:rFonts w:ascii="Titillium" w:hAnsi="Titillium"/>
          <w:sz w:val="18"/>
          <w:szCs w:val="18"/>
          <w:lang w:val="it-IT"/>
        </w:rPr>
        <w:t xml:space="preserve"> </w:t>
      </w:r>
      <w:r>
        <w:rPr>
          <w:rFonts w:ascii="Titillium" w:hAnsi="Titillium"/>
          <w:sz w:val="18"/>
          <w:szCs w:val="18"/>
        </w:rPr>
        <w:t>SOPRALLUOGO</w:t>
      </w:r>
      <w:bookmarkEnd w:id="1771"/>
    </w:p>
    <w:p w14:paraId="6688E69D"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Il sopralluogo su ... </w:t>
      </w:r>
      <w:r>
        <w:rPr>
          <w:rFonts w:ascii="Titillium" w:hAnsi="Titillium" w:cs="Calibri"/>
          <w:i/>
          <w:sz w:val="18"/>
          <w:szCs w:val="18"/>
        </w:rPr>
        <w:t>[indicare eventuali aree/locali/ oggetto di sopralluogo interessati ai</w:t>
      </w:r>
      <w:r>
        <w:rPr>
          <w:rFonts w:ascii="Titillium" w:hAnsi="Titillium" w:cs="Calibri"/>
          <w:sz w:val="18"/>
          <w:szCs w:val="18"/>
        </w:rPr>
        <w:t xml:space="preserve"> </w:t>
      </w:r>
      <w:r>
        <w:rPr>
          <w:rFonts w:ascii="Titillium" w:hAnsi="Titillium" w:cs="Calibri"/>
          <w:i/>
          <w:sz w:val="18"/>
          <w:szCs w:val="18"/>
        </w:rPr>
        <w:t>servizi/forniture]</w:t>
      </w:r>
      <w:r>
        <w:rPr>
          <w:rFonts w:ascii="Titillium" w:hAnsi="Titillium" w:cs="Calibri"/>
          <w:sz w:val="18"/>
          <w:szCs w:val="18"/>
        </w:rPr>
        <w:t xml:space="preserve"> </w:t>
      </w:r>
      <w:r w:rsidRPr="00EC088D">
        <w:rPr>
          <w:rFonts w:ascii="Titillium" w:hAnsi="Titillium" w:cs="Calibri"/>
          <w:sz w:val="18"/>
          <w:szCs w:val="18"/>
        </w:rPr>
        <w:t>è obbligatorio</w:t>
      </w:r>
      <w:r>
        <w:rPr>
          <w:rFonts w:ascii="Titillium" w:hAnsi="Titillium" w:cs="Calibri"/>
          <w:sz w:val="18"/>
          <w:szCs w:val="18"/>
        </w:rPr>
        <w:t xml:space="preserve">. Il sopralluogo si rende necessario per le seguenti ragioni … </w:t>
      </w:r>
      <w:r>
        <w:rPr>
          <w:rFonts w:ascii="Titillium" w:hAnsi="Titillium" w:cs="Calibri"/>
          <w:i/>
          <w:sz w:val="18"/>
          <w:szCs w:val="18"/>
        </w:rPr>
        <w:t>[fornire la motivazione].</w:t>
      </w:r>
      <w:r>
        <w:rPr>
          <w:rFonts w:ascii="Titillium" w:hAnsi="Titillium" w:cs="Calibri"/>
          <w:sz w:val="18"/>
          <w:szCs w:val="18"/>
        </w:rPr>
        <w:t xml:space="preserve"> La mancata effettuazione del sopralluogo </w:t>
      </w:r>
      <w:r w:rsidRPr="00EC088D">
        <w:rPr>
          <w:rFonts w:ascii="Titillium" w:hAnsi="Titillium" w:cs="Calibri"/>
          <w:sz w:val="18"/>
          <w:szCs w:val="18"/>
        </w:rPr>
        <w:t>è causa di esclusione dalla</w:t>
      </w:r>
      <w:r>
        <w:rPr>
          <w:rFonts w:ascii="Titillium" w:hAnsi="Titillium" w:cs="Calibri"/>
          <w:sz w:val="18"/>
          <w:szCs w:val="18"/>
        </w:rPr>
        <w:t xml:space="preserve"> procedura di gara.</w:t>
      </w:r>
    </w:p>
    <w:p w14:paraId="2D03F9D1" w14:textId="77777777" w:rsidR="00276DF7" w:rsidRDefault="00276DF7" w:rsidP="00276DF7">
      <w:pPr>
        <w:shd w:val="clear" w:color="auto" w:fill="F2F2F2" w:themeFill="background1" w:themeFillShade="F2"/>
        <w:spacing w:before="60" w:after="60"/>
      </w:pPr>
      <w:r>
        <w:rPr>
          <w:rFonts w:ascii="Titillium" w:hAnsi="Titillium" w:cs="Calibri"/>
          <w:sz w:val="18"/>
          <w:szCs w:val="18"/>
        </w:rPr>
        <w:t>Il sopralluogo è effettuato accedendo di persona nelle aree oggetto di sopralluogo o a distanza.</w:t>
      </w:r>
    </w:p>
    <w:p w14:paraId="0C93862B"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Il sopralluogo può essere effettuato </w:t>
      </w:r>
      <w:r w:rsidRPr="004C6FBF">
        <w:rPr>
          <w:rFonts w:ascii="Titillium" w:hAnsi="Titillium" w:cs="Calibri"/>
          <w:i/>
          <w:sz w:val="18"/>
          <w:szCs w:val="18"/>
        </w:rPr>
        <w:t>… [indicare o i giorni prestabiliti dalla stazione appaltante e/o la possibilità di concordare i giorni in cui svolgerlo di persona o</w:t>
      </w:r>
      <w:r w:rsidRPr="00955636">
        <w:rPr>
          <w:rFonts w:ascii="Titillium" w:hAnsi="Titillium" w:cs="Calibri"/>
          <w:i/>
          <w:sz w:val="18"/>
          <w:szCs w:val="18"/>
        </w:rPr>
        <w:t xml:space="preserve"> indicare come effettuare il sopralluogo a distanza, ad esempio collegandosi ad un link </w:t>
      </w:r>
      <w:r>
        <w:rPr>
          <w:rFonts w:ascii="Titillium" w:hAnsi="Titillium" w:cs="Calibri"/>
          <w:i/>
          <w:sz w:val="18"/>
          <w:szCs w:val="18"/>
        </w:rPr>
        <w:t>inserito nella Piattaforma</w:t>
      </w:r>
      <w:r w:rsidRPr="004C6FBF">
        <w:rPr>
          <w:rFonts w:ascii="Titillium" w:hAnsi="Titillium" w:cs="Calibri"/>
          <w:i/>
          <w:sz w:val="18"/>
          <w:szCs w:val="18"/>
        </w:rPr>
        <w:t>]</w:t>
      </w:r>
      <w:r>
        <w:rPr>
          <w:rFonts w:ascii="Titillium" w:hAnsi="Titillium" w:cs="Calibri"/>
          <w:sz w:val="18"/>
          <w:szCs w:val="18"/>
        </w:rPr>
        <w:t xml:space="preserve">. </w:t>
      </w:r>
    </w:p>
    <w:p w14:paraId="128EDECA"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La richiesta di sopralluogo deve essere presentata entro le ore </w:t>
      </w:r>
      <w:r w:rsidRPr="004C6FBF">
        <w:rPr>
          <w:rFonts w:ascii="Titillium" w:hAnsi="Titillium" w:cs="Calibri"/>
          <w:i/>
          <w:sz w:val="18"/>
          <w:szCs w:val="18"/>
        </w:rPr>
        <w:t>... [indicare]</w:t>
      </w:r>
      <w:r>
        <w:rPr>
          <w:rFonts w:ascii="Titillium" w:hAnsi="Titillium" w:cs="Calibri"/>
          <w:sz w:val="18"/>
          <w:szCs w:val="18"/>
        </w:rPr>
        <w:t xml:space="preserve"> del giorno …</w:t>
      </w:r>
      <w:r>
        <w:rPr>
          <w:rFonts w:ascii="Titillium" w:hAnsi="Titillium" w:cs="Calibri"/>
          <w:i/>
          <w:sz w:val="18"/>
          <w:szCs w:val="18"/>
        </w:rPr>
        <w:t xml:space="preserve"> </w:t>
      </w:r>
      <w:r w:rsidRPr="004C6FBF">
        <w:rPr>
          <w:rFonts w:ascii="Titillium" w:hAnsi="Titillium" w:cs="Calibri"/>
          <w:i/>
          <w:sz w:val="18"/>
          <w:szCs w:val="18"/>
        </w:rPr>
        <w:t xml:space="preserve">[indicare], </w:t>
      </w:r>
      <w:r>
        <w:rPr>
          <w:rFonts w:ascii="Titillium" w:hAnsi="Titillium" w:cs="Calibri"/>
          <w:sz w:val="18"/>
          <w:szCs w:val="18"/>
        </w:rPr>
        <w:t>tramite la Piattaforma alla</w:t>
      </w:r>
      <w:r>
        <w:rPr>
          <w:rFonts w:ascii="Titillium" w:hAnsi="Titillium" w:cs="Calibri"/>
          <w:i/>
          <w:sz w:val="18"/>
          <w:szCs w:val="18"/>
        </w:rPr>
        <w:t xml:space="preserve"> </w:t>
      </w:r>
      <w:r>
        <w:rPr>
          <w:rFonts w:ascii="Titillium" w:hAnsi="Titillium" w:cs="Calibri"/>
          <w:sz w:val="18"/>
          <w:szCs w:val="18"/>
        </w:rPr>
        <w:t>Sezione</w:t>
      </w:r>
      <w:r>
        <w:rPr>
          <w:rFonts w:ascii="Titillium" w:hAnsi="Titillium" w:cs="Calibri"/>
          <w:i/>
          <w:sz w:val="18"/>
          <w:szCs w:val="18"/>
        </w:rPr>
        <w:t xml:space="preserve"> </w:t>
      </w:r>
      <w:r>
        <w:rPr>
          <w:rFonts w:ascii="Titillium" w:hAnsi="Titillium" w:cs="Calibri"/>
          <w:sz w:val="18"/>
          <w:szCs w:val="18"/>
        </w:rPr>
        <w:t xml:space="preserve">… </w:t>
      </w:r>
      <w:r w:rsidRPr="004C6FBF">
        <w:rPr>
          <w:rFonts w:ascii="Titillium" w:hAnsi="Titillium" w:cs="Calibri"/>
          <w:i/>
          <w:sz w:val="18"/>
          <w:szCs w:val="18"/>
        </w:rPr>
        <w:t>[indicare]</w:t>
      </w:r>
      <w:r>
        <w:rPr>
          <w:rFonts w:ascii="Titillium" w:hAnsi="Titillium" w:cs="Calibri"/>
          <w:sz w:val="18"/>
          <w:szCs w:val="18"/>
        </w:rPr>
        <w:t xml:space="preserve"> e deve riportare il nominativo e la qualifica della persona incaricata di effettuare il sopralluogo. </w:t>
      </w:r>
    </w:p>
    <w:p w14:paraId="0E05A395" w14:textId="77777777" w:rsidR="00276DF7" w:rsidRPr="007F7B02"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Data, ora e luogo </w:t>
      </w:r>
      <w:r w:rsidRPr="00955636">
        <w:rPr>
          <w:rFonts w:ascii="Titillium" w:hAnsi="Titillium" w:cs="Calibri"/>
          <w:i/>
          <w:sz w:val="18"/>
          <w:szCs w:val="18"/>
        </w:rPr>
        <w:t xml:space="preserve">[fisico in caso di sopralluogo effettuato di persona o </w:t>
      </w:r>
      <w:r>
        <w:rPr>
          <w:rFonts w:ascii="Titillium" w:hAnsi="Titillium" w:cs="Calibri"/>
          <w:i/>
          <w:sz w:val="18"/>
          <w:szCs w:val="18"/>
        </w:rPr>
        <w:t>link o area della Piattaforma</w:t>
      </w:r>
      <w:r w:rsidRPr="00955636">
        <w:rPr>
          <w:rFonts w:ascii="Titillium" w:hAnsi="Titillium" w:cs="Calibri"/>
          <w:i/>
          <w:sz w:val="18"/>
          <w:szCs w:val="18"/>
        </w:rPr>
        <w:t xml:space="preserve"> in caso di sopralluogo virtuale]</w:t>
      </w:r>
      <w:r>
        <w:rPr>
          <w:rFonts w:ascii="Titillium" w:hAnsi="Titillium" w:cs="Calibri"/>
          <w:sz w:val="18"/>
          <w:szCs w:val="18"/>
        </w:rPr>
        <w:t xml:space="preserve"> del sopralluogo sono comunicati ai concorrenti con almeno ... </w:t>
      </w:r>
      <w:r w:rsidRPr="00955636">
        <w:rPr>
          <w:rFonts w:ascii="Titillium" w:hAnsi="Titillium" w:cs="Calibri"/>
          <w:i/>
          <w:sz w:val="18"/>
          <w:szCs w:val="18"/>
        </w:rPr>
        <w:t>[indicare]</w:t>
      </w:r>
      <w:r>
        <w:rPr>
          <w:rFonts w:ascii="Titillium" w:hAnsi="Titillium" w:cs="Calibri"/>
          <w:sz w:val="18"/>
          <w:szCs w:val="18"/>
        </w:rPr>
        <w:t xml:space="preserve"> giorni di anticipo. </w:t>
      </w:r>
      <w:r w:rsidRPr="007F7B02">
        <w:rPr>
          <w:rFonts w:ascii="Titillium" w:hAnsi="Titillium" w:cs="Calibri"/>
          <w:sz w:val="18"/>
          <w:szCs w:val="18"/>
        </w:rPr>
        <w:t xml:space="preserve">Viene rilasciata </w:t>
      </w:r>
      <w:r>
        <w:rPr>
          <w:rFonts w:ascii="Titillium" w:hAnsi="Titillium" w:cs="Calibri"/>
          <w:sz w:val="18"/>
          <w:szCs w:val="18"/>
        </w:rPr>
        <w:t>l’</w:t>
      </w:r>
      <w:r w:rsidRPr="007F7B02">
        <w:rPr>
          <w:rFonts w:ascii="Titillium" w:hAnsi="Titillium" w:cs="Calibri"/>
          <w:sz w:val="18"/>
          <w:szCs w:val="18"/>
        </w:rPr>
        <w:t>attestazione di avvenuto svolgimento del sopralluogo.</w:t>
      </w:r>
    </w:p>
    <w:p w14:paraId="09614773"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CC69B5">
        <w:rPr>
          <w:rFonts w:ascii="Titillium" w:hAnsi="Titillium" w:cs="Calibri"/>
          <w:sz w:val="18"/>
          <w:szCs w:val="18"/>
        </w:rPr>
        <w:t>Il sopralluogo può essere effettuato dal rappresentante legale/procuratore/direttore tecnico in possesso del documento di identità, o da soggetto diverso rappresentante dell’operatore economico purché in possesso di apposita delega, del proprio documento di identità e di copia di quello del delegante</w:t>
      </w:r>
      <w:r>
        <w:rPr>
          <w:rFonts w:ascii="Titillium" w:hAnsi="Titillium" w:cs="Calibri"/>
          <w:sz w:val="18"/>
          <w:szCs w:val="18"/>
        </w:rPr>
        <w:t>.</w:t>
      </w:r>
    </w:p>
    <w:p w14:paraId="73FEC2B8"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Il soggetto delegato ad effettuare il sopralluogo non può ricevere l’incarico da più concorrenti. </w:t>
      </w:r>
      <w:r w:rsidRPr="007F7B02">
        <w:rPr>
          <w:rFonts w:ascii="Titillium" w:hAnsi="Titillium" w:cs="Calibri"/>
          <w:sz w:val="18"/>
          <w:szCs w:val="18"/>
        </w:rPr>
        <w:t>In tal caso la stazione appaltante non rilascia la relativa attestazione ad alcuno dei soggetti deleganti</w:t>
      </w:r>
      <w:r>
        <w:rPr>
          <w:rFonts w:ascii="Titillium" w:hAnsi="Titillium" w:cs="Calibri"/>
          <w:sz w:val="18"/>
          <w:szCs w:val="18"/>
        </w:rPr>
        <w:t>.</w:t>
      </w:r>
    </w:p>
    <w:p w14:paraId="0F80F2AD"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In caso </w:t>
      </w:r>
      <w:r w:rsidRPr="003D7007">
        <w:rPr>
          <w:rFonts w:ascii="Titillium" w:hAnsi="Titillium" w:cs="Calibri"/>
          <w:sz w:val="18"/>
          <w:szCs w:val="18"/>
        </w:rPr>
        <w:t>di raggruppamento temporaneo o consorzio ordinario già costituiti, GEIE, aggregazione di retisti, il sopralluogo può essere</w:t>
      </w:r>
      <w:r>
        <w:rPr>
          <w:rFonts w:ascii="Titillium" w:hAnsi="Titillium" w:cs="Calibri"/>
          <w:sz w:val="18"/>
          <w:szCs w:val="18"/>
        </w:rPr>
        <w:t xml:space="preserve"> effettuato da un rappresentante degli operatori economici raggruppati, aggregati in rete o consorziati. </w:t>
      </w:r>
    </w:p>
    <w:p w14:paraId="60EA84A1" w14:textId="77777777" w:rsidR="00276DF7" w:rsidRPr="003D7007" w:rsidRDefault="00276DF7" w:rsidP="00276DF7">
      <w:pPr>
        <w:shd w:val="clear" w:color="auto" w:fill="F2F2F2" w:themeFill="background1" w:themeFillShade="F2"/>
        <w:spacing w:before="60" w:after="60"/>
      </w:pPr>
      <w:r w:rsidRPr="003D7007">
        <w:rPr>
          <w:rFonts w:ascii="Titillium" w:hAnsi="Titillium" w:cs="Calibri"/>
          <w:sz w:val="18"/>
          <w:szCs w:val="18"/>
        </w:rPr>
        <w:t>In caso di raggruppamento temporaneo o consorzio ordinario</w:t>
      </w:r>
      <w:r>
        <w:rPr>
          <w:rFonts w:ascii="Titillium" w:hAnsi="Titillium" w:cs="Calibri"/>
          <w:sz w:val="18"/>
          <w:szCs w:val="18"/>
        </w:rPr>
        <w:t xml:space="preserve">, </w:t>
      </w:r>
      <w:r w:rsidRPr="003D7007">
        <w:rPr>
          <w:rFonts w:ascii="Titillium" w:hAnsi="Titillium" w:cs="Calibri"/>
          <w:sz w:val="18"/>
          <w:szCs w:val="18"/>
        </w:rPr>
        <w:t xml:space="preserve">aggregazione di retisti </w:t>
      </w:r>
      <w:r w:rsidRPr="005423E5">
        <w:rPr>
          <w:rFonts w:ascii="Titillium" w:hAnsi="Titillium" w:cs="Calibri"/>
          <w:sz w:val="18"/>
          <w:szCs w:val="18"/>
        </w:rPr>
        <w:t>non ancora costituiti</w:t>
      </w:r>
      <w:r w:rsidRPr="003D7007">
        <w:rPr>
          <w:rFonts w:ascii="Titillium" w:hAnsi="Titillium" w:cs="Calibri"/>
          <w:sz w:val="18"/>
          <w:szCs w:val="18"/>
        </w:rPr>
        <w:t xml:space="preserve">, il sopralluogo è effettuato da un rappresentante </w:t>
      </w:r>
      <w:r>
        <w:rPr>
          <w:rFonts w:ascii="Titillium" w:hAnsi="Titillium" w:cs="Calibri"/>
          <w:sz w:val="18"/>
          <w:szCs w:val="18"/>
        </w:rPr>
        <w:t xml:space="preserve">di uno </w:t>
      </w:r>
      <w:r w:rsidRPr="003D7007">
        <w:rPr>
          <w:rFonts w:ascii="Titillium" w:hAnsi="Titillium" w:cs="Calibri"/>
          <w:sz w:val="18"/>
          <w:szCs w:val="18"/>
        </w:rPr>
        <w:t xml:space="preserve">degli </w:t>
      </w:r>
      <w:r w:rsidRPr="003D7007">
        <w:rPr>
          <w:rFonts w:ascii="Titillium" w:hAnsi="Titillium" w:cs="Calibri"/>
          <w:sz w:val="18"/>
          <w:szCs w:val="18"/>
        </w:rPr>
        <w:lastRenderedPageBreak/>
        <w:t xml:space="preserve">operatori economici </w:t>
      </w:r>
      <w:r>
        <w:rPr>
          <w:rFonts w:ascii="Titillium" w:hAnsi="Titillium" w:cs="Calibri"/>
          <w:sz w:val="18"/>
          <w:szCs w:val="18"/>
        </w:rPr>
        <w:t xml:space="preserve">che costituiranno il </w:t>
      </w:r>
      <w:r w:rsidRPr="003D7007">
        <w:rPr>
          <w:rFonts w:ascii="Titillium" w:hAnsi="Titillium" w:cs="Calibri"/>
          <w:sz w:val="18"/>
          <w:szCs w:val="18"/>
        </w:rPr>
        <w:t>raggruppa</w:t>
      </w:r>
      <w:r>
        <w:rPr>
          <w:rFonts w:ascii="Titillium" w:hAnsi="Titillium" w:cs="Calibri"/>
          <w:sz w:val="18"/>
          <w:szCs w:val="18"/>
        </w:rPr>
        <w:t>mento o</w:t>
      </w:r>
      <w:r w:rsidRPr="003D7007">
        <w:rPr>
          <w:rFonts w:ascii="Titillium" w:hAnsi="Titillium" w:cs="Calibri"/>
          <w:sz w:val="18"/>
          <w:szCs w:val="18"/>
        </w:rPr>
        <w:t xml:space="preserve"> </w:t>
      </w:r>
      <w:r>
        <w:rPr>
          <w:rFonts w:ascii="Titillium" w:hAnsi="Titillium" w:cs="Calibri"/>
          <w:sz w:val="18"/>
          <w:szCs w:val="18"/>
        </w:rPr>
        <w:t>l’</w:t>
      </w:r>
      <w:r w:rsidRPr="003D7007">
        <w:rPr>
          <w:rFonts w:ascii="Titillium" w:hAnsi="Titillium" w:cs="Calibri"/>
          <w:sz w:val="18"/>
          <w:szCs w:val="18"/>
        </w:rPr>
        <w:t>aggrega</w:t>
      </w:r>
      <w:r>
        <w:rPr>
          <w:rFonts w:ascii="Titillium" w:hAnsi="Titillium" w:cs="Calibri"/>
          <w:sz w:val="18"/>
          <w:szCs w:val="18"/>
        </w:rPr>
        <w:t xml:space="preserve">zione </w:t>
      </w:r>
      <w:r w:rsidRPr="003D7007">
        <w:rPr>
          <w:rFonts w:ascii="Titillium" w:hAnsi="Titillium" w:cs="Calibri"/>
          <w:sz w:val="18"/>
          <w:szCs w:val="18"/>
        </w:rPr>
        <w:t xml:space="preserve">in rete o </w:t>
      </w:r>
      <w:r>
        <w:rPr>
          <w:rFonts w:ascii="Titillium" w:hAnsi="Titillium" w:cs="Calibri"/>
          <w:sz w:val="18"/>
          <w:szCs w:val="18"/>
        </w:rPr>
        <w:t xml:space="preserve">il </w:t>
      </w:r>
      <w:r w:rsidRPr="003D7007">
        <w:rPr>
          <w:rFonts w:ascii="Titillium" w:hAnsi="Titillium" w:cs="Calibri"/>
          <w:sz w:val="18"/>
          <w:szCs w:val="18"/>
        </w:rPr>
        <w:t>consorzi</w:t>
      </w:r>
      <w:r>
        <w:rPr>
          <w:rFonts w:ascii="Titillium" w:hAnsi="Titillium" w:cs="Calibri"/>
          <w:sz w:val="18"/>
          <w:szCs w:val="18"/>
        </w:rPr>
        <w:t>o</w:t>
      </w:r>
      <w:r w:rsidRPr="003D7007">
        <w:rPr>
          <w:rFonts w:ascii="Titillium" w:hAnsi="Titillium" w:cs="Calibri"/>
          <w:sz w:val="18"/>
          <w:szCs w:val="18"/>
        </w:rPr>
        <w:t xml:space="preserve">. </w:t>
      </w:r>
    </w:p>
    <w:p w14:paraId="1FEEEDA8"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3D7007">
        <w:rPr>
          <w:rFonts w:ascii="Titillium" w:hAnsi="Titillium" w:cs="Calibri"/>
          <w:sz w:val="18"/>
          <w:szCs w:val="18"/>
        </w:rPr>
        <w:t xml:space="preserve">In caso di consorzio di cui all’articolo </w:t>
      </w:r>
      <w:r>
        <w:rPr>
          <w:rFonts w:ascii="Titillium" w:hAnsi="Titillium" w:cs="Calibri"/>
          <w:sz w:val="18"/>
          <w:szCs w:val="18"/>
        </w:rPr>
        <w:t xml:space="preserve">65 </w:t>
      </w:r>
      <w:r w:rsidRPr="003D7007">
        <w:rPr>
          <w:rFonts w:ascii="Titillium" w:hAnsi="Titillium" w:cs="Calibri"/>
          <w:sz w:val="18"/>
          <w:szCs w:val="18"/>
        </w:rPr>
        <w:t>comma 2, lettera b)</w:t>
      </w:r>
      <w:r>
        <w:rPr>
          <w:rFonts w:ascii="Titillium" w:hAnsi="Titillium" w:cs="Calibri"/>
          <w:sz w:val="18"/>
          <w:szCs w:val="18"/>
        </w:rPr>
        <w:t>, c), d)</w:t>
      </w:r>
      <w:r w:rsidRPr="003D7007">
        <w:rPr>
          <w:rFonts w:ascii="Titillium" w:hAnsi="Titillium" w:cs="Calibri"/>
          <w:sz w:val="18"/>
          <w:szCs w:val="18"/>
        </w:rPr>
        <w:t xml:space="preserve"> del Codice il sopralluogo deve essere effettuato da soggetto munito di delega conferita dal consorzio oppure dall’operatore economico consorziato indicato come esecutore</w:t>
      </w:r>
      <w:r>
        <w:rPr>
          <w:rFonts w:ascii="Titillium" w:hAnsi="Titillium" w:cs="Calibri"/>
          <w:sz w:val="18"/>
          <w:szCs w:val="18"/>
        </w:rPr>
        <w:t>.</w:t>
      </w:r>
    </w:p>
    <w:p w14:paraId="2C1FFF5A"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sz w:val="18"/>
          <w:szCs w:val="18"/>
        </w:rPr>
      </w:pPr>
      <w:r w:rsidRPr="008B37AD">
        <w:rPr>
          <w:rFonts w:ascii="Titillium" w:hAnsi="Titillium" w:cs="Calibri"/>
          <w:i/>
          <w:sz w:val="18"/>
          <w:szCs w:val="18"/>
        </w:rPr>
        <w:t>N.B.: i sopralluoghi devono essere fissati in date tali da consentire agli operatori economici di poter effettuare eventuali richieste di chiarimenti ovvero di regola almeno tre giorni prima della scadenza del termine per la richiesta dei chiarimenti.</w:t>
      </w:r>
    </w:p>
    <w:p w14:paraId="6293F7CF" w14:textId="77777777" w:rsidR="00276DF7" w:rsidRDefault="00276DF7" w:rsidP="00276DF7">
      <w:pPr>
        <w:pStyle w:val="Titolo2"/>
        <w:numPr>
          <w:ilvl w:val="0"/>
          <w:numId w:val="4"/>
        </w:numPr>
        <w:shd w:val="clear" w:color="auto" w:fill="F2F2F2" w:themeFill="background1" w:themeFillShade="F2"/>
        <w:ind w:left="357" w:hanging="357"/>
      </w:pPr>
      <w:bookmarkStart w:id="1772" w:name="_Toc139549434"/>
      <w:r>
        <w:rPr>
          <w:rFonts w:ascii="Titillium" w:hAnsi="Titillium"/>
          <w:sz w:val="18"/>
          <w:szCs w:val="18"/>
          <w:lang w:val="it-IT"/>
        </w:rPr>
        <w:t>PAGAMENTO DEL CONTRIBUTO A FAVORE DELL’</w:t>
      </w:r>
      <w:r>
        <w:rPr>
          <w:rFonts w:ascii="Titillium" w:hAnsi="Titillium" w:cs="Calibri"/>
          <w:sz w:val="18"/>
          <w:szCs w:val="18"/>
        </w:rPr>
        <w:t>ANAC</w:t>
      </w:r>
      <w:bookmarkStart w:id="1773" w:name="_Toc416423364"/>
      <w:bookmarkStart w:id="1774" w:name="_Toc406754179"/>
      <w:bookmarkStart w:id="1775" w:name="_Toc406058378"/>
      <w:bookmarkStart w:id="1776" w:name="_Toc403471272"/>
      <w:bookmarkStart w:id="1777" w:name="_Toc397422865"/>
      <w:bookmarkStart w:id="1778" w:name="_Toc397346824"/>
      <w:bookmarkStart w:id="1779" w:name="_Toc393706909"/>
      <w:bookmarkStart w:id="1780" w:name="_Toc393700836"/>
      <w:bookmarkStart w:id="1781" w:name="_Toc393283177"/>
      <w:bookmarkStart w:id="1782" w:name="_Toc393272661"/>
      <w:bookmarkStart w:id="1783" w:name="_Toc393272603"/>
      <w:bookmarkStart w:id="1784" w:name="_Toc393187847"/>
      <w:bookmarkStart w:id="1785" w:name="_Toc393112130"/>
      <w:bookmarkStart w:id="1786" w:name="_Toc393110566"/>
      <w:bookmarkStart w:id="1787" w:name="_Toc392577499"/>
      <w:bookmarkStart w:id="1788" w:name="_Toc391036058"/>
      <w:bookmarkStart w:id="1789" w:name="_Toc391035985"/>
      <w:bookmarkStart w:id="1790" w:name="_Toc380501872"/>
      <w:bookmarkStart w:id="1791" w:name="_Toc354038185"/>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14:paraId="6196B16A" w14:textId="77777777" w:rsidR="00276DF7" w:rsidRPr="000D756B" w:rsidRDefault="00276DF7" w:rsidP="00276DF7">
      <w:pPr>
        <w:shd w:val="clear" w:color="auto" w:fill="F2F2F2" w:themeFill="background1" w:themeFillShade="F2"/>
        <w:spacing w:before="60" w:after="60"/>
        <w:rPr>
          <w:rFonts w:ascii="Titillium" w:hAnsi="Titillium"/>
          <w:iCs/>
          <w:sz w:val="18"/>
          <w:szCs w:val="18"/>
        </w:rPr>
      </w:pPr>
      <w:r w:rsidRPr="003D1CFD">
        <w:rPr>
          <w:rFonts w:ascii="Titillium" w:hAnsi="Titillium" w:cs="Calibri"/>
          <w:b/>
          <w:i/>
          <w:sz w:val="18"/>
          <w:szCs w:val="18"/>
        </w:rPr>
        <w:t xml:space="preserve">[In caso di lotto unico] </w:t>
      </w:r>
      <w:r w:rsidRPr="003D1CFD">
        <w:rPr>
          <w:rFonts w:ascii="Titillium" w:hAnsi="Titillium" w:cs="Calibri"/>
          <w:sz w:val="18"/>
          <w:szCs w:val="18"/>
        </w:rPr>
        <w:t>I concorrenti effettuano</w:t>
      </w:r>
      <w:r>
        <w:rPr>
          <w:rFonts w:ascii="Titillium" w:hAnsi="Titillium" w:cs="Calibri"/>
          <w:sz w:val="18"/>
          <w:szCs w:val="18"/>
        </w:rPr>
        <w:t xml:space="preserve"> </w:t>
      </w:r>
      <w:r w:rsidRPr="00D2751A">
        <w:rPr>
          <w:rFonts w:ascii="Titillium" w:hAnsi="Titillium" w:cs="Calibri"/>
          <w:sz w:val="18"/>
          <w:szCs w:val="18"/>
        </w:rPr>
        <w:t>il</w:t>
      </w:r>
      <w:r w:rsidRPr="003D1CFD">
        <w:rPr>
          <w:rFonts w:ascii="Titillium" w:hAnsi="Titillium" w:cs="Calibri"/>
          <w:sz w:val="18"/>
          <w:szCs w:val="18"/>
        </w:rPr>
        <w:t xml:space="preserve"> pagamento del contributo previsto dalla legge in favore dell’Autorità Nazionale Anticorruzione per un importo pari a € … </w:t>
      </w:r>
      <w:r w:rsidRPr="003D1CFD">
        <w:rPr>
          <w:rFonts w:ascii="Titillium" w:hAnsi="Titillium" w:cs="Calibri"/>
          <w:i/>
          <w:iCs/>
          <w:sz w:val="18"/>
          <w:szCs w:val="18"/>
        </w:rPr>
        <w:t>[inserire]</w:t>
      </w:r>
      <w:r w:rsidRPr="003D1CFD">
        <w:rPr>
          <w:rFonts w:ascii="Titillium" w:hAnsi="Titillium" w:cs="Calibri"/>
          <w:sz w:val="18"/>
          <w:szCs w:val="18"/>
        </w:rPr>
        <w:t xml:space="preserve"> secondo le modalità di cui alla delibera ANAC n. … del … </w:t>
      </w:r>
      <w:r w:rsidRPr="003D1CFD">
        <w:rPr>
          <w:rFonts w:ascii="Titillium" w:hAnsi="Titillium" w:cs="Calibri"/>
          <w:i/>
          <w:sz w:val="18"/>
          <w:szCs w:val="18"/>
        </w:rPr>
        <w:t>[</w:t>
      </w:r>
      <w:r w:rsidRPr="00D91357">
        <w:rPr>
          <w:rFonts w:ascii="Titillium" w:hAnsi="Titillium" w:cs="Calibri"/>
          <w:i/>
          <w:sz w:val="18"/>
          <w:szCs w:val="18"/>
        </w:rPr>
        <w:t xml:space="preserve">ad esempio Delibera numero 621 del 20 dicembre 2022 </w:t>
      </w:r>
      <w:r w:rsidRPr="00D91357">
        <w:rPr>
          <w:rFonts w:ascii="Titillium" w:hAnsi="Titillium"/>
          <w:i/>
          <w:sz w:val="18"/>
          <w:szCs w:val="18"/>
        </w:rPr>
        <w:t xml:space="preserve">o successiva delibera pubblicata al seguente </w:t>
      </w:r>
      <w:hyperlink r:id="rId10" w:history="1">
        <w:r w:rsidRPr="00D91357">
          <w:rPr>
            <w:rStyle w:val="Collegamentoipertestuale"/>
            <w:rFonts w:ascii="Titillium" w:hAnsi="Titillium"/>
            <w:i/>
            <w:sz w:val="18"/>
            <w:szCs w:val="18"/>
          </w:rPr>
          <w:t>https://www.anticorruzione.it/-/gestione-contributi-gara</w:t>
        </w:r>
      </w:hyperlink>
      <w:r>
        <w:rPr>
          <w:rFonts w:ascii="Titillium" w:hAnsi="Titillium"/>
          <w:i/>
          <w:sz w:val="18"/>
          <w:szCs w:val="18"/>
        </w:rPr>
        <w:t xml:space="preserve">]. </w:t>
      </w:r>
      <w:r w:rsidRPr="000D756B">
        <w:rPr>
          <w:rFonts w:ascii="Titillium" w:hAnsi="Titillium"/>
          <w:iCs/>
          <w:sz w:val="18"/>
          <w:szCs w:val="18"/>
        </w:rPr>
        <w:t xml:space="preserve">Il pagamento del contributo è condizione di ammissibilità dell’offerta. Il pagamento è verificato mediante il FVOE. In caso di esito negativo della verifica, è attivata la procedura di soccorso istruttorio. In caso di mancata regolarizzazione nel termine assegnato, l’offerta è dichiarata inammissibile.  </w:t>
      </w:r>
    </w:p>
    <w:p w14:paraId="6D211AF4" w14:textId="77777777" w:rsidR="00276DF7" w:rsidRDefault="00276DF7" w:rsidP="00276DF7">
      <w:pPr>
        <w:shd w:val="clear" w:color="auto" w:fill="F2F2F2" w:themeFill="background1" w:themeFillShade="F2"/>
        <w:spacing w:before="60" w:after="60"/>
      </w:pPr>
    </w:p>
    <w:p w14:paraId="2A13EE9D"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b/>
          <w:i/>
          <w:sz w:val="18"/>
          <w:szCs w:val="18"/>
        </w:rPr>
        <w:t>[In caso di suddivisione in lotti]</w:t>
      </w:r>
      <w:r>
        <w:rPr>
          <w:rFonts w:ascii="Titillium" w:hAnsi="Titillium" w:cs="Calibri"/>
          <w:sz w:val="18"/>
          <w:szCs w:val="18"/>
        </w:rPr>
        <w:t xml:space="preserve"> I concorrenti </w:t>
      </w:r>
      <w:r w:rsidRPr="00D2751A">
        <w:rPr>
          <w:rFonts w:ascii="Titillium" w:hAnsi="Titillium" w:cs="Calibri"/>
          <w:sz w:val="18"/>
          <w:szCs w:val="18"/>
        </w:rPr>
        <w:t>effettuano</w:t>
      </w:r>
      <w:r>
        <w:rPr>
          <w:rFonts w:ascii="Titillium" w:hAnsi="Titillium" w:cs="Calibri"/>
          <w:sz w:val="18"/>
          <w:szCs w:val="18"/>
        </w:rPr>
        <w:t xml:space="preserve"> il pagamento del contributo previsto dalla legge in favore dell’Autorità Nazionale Anticorruzione per un importo pari a € …</w:t>
      </w:r>
      <w:r>
        <w:rPr>
          <w:rFonts w:ascii="Titillium" w:hAnsi="Titillium" w:cs="Calibri"/>
          <w:i/>
          <w:iCs/>
          <w:sz w:val="18"/>
          <w:szCs w:val="18"/>
        </w:rPr>
        <w:t xml:space="preserve">[inserire] </w:t>
      </w:r>
      <w:r>
        <w:rPr>
          <w:rFonts w:ascii="Titillium" w:hAnsi="Titillium" w:cs="Calibri"/>
          <w:sz w:val="18"/>
          <w:szCs w:val="18"/>
        </w:rPr>
        <w:t xml:space="preserve">secondo le modalità di cui alla delibera ANAC n. … del … </w:t>
      </w:r>
      <w:r>
        <w:rPr>
          <w:rFonts w:ascii="Titillium" w:hAnsi="Titillium" w:cs="Calibri"/>
          <w:i/>
          <w:sz w:val="18"/>
          <w:szCs w:val="18"/>
        </w:rPr>
        <w:t>[</w:t>
      </w:r>
      <w:r w:rsidRPr="00D91357">
        <w:rPr>
          <w:rFonts w:ascii="Titillium" w:hAnsi="Titillium" w:cs="Calibri"/>
          <w:i/>
          <w:sz w:val="18"/>
          <w:szCs w:val="18"/>
        </w:rPr>
        <w:t xml:space="preserve">ad esempio Delibera numero 621 del 20 dicembre 2022 </w:t>
      </w:r>
      <w:r w:rsidRPr="00D91357">
        <w:rPr>
          <w:rFonts w:ascii="Titillium" w:hAnsi="Titillium"/>
          <w:i/>
          <w:sz w:val="18"/>
          <w:szCs w:val="18"/>
        </w:rPr>
        <w:t xml:space="preserve">o successiva delibera pubblicata al seguente </w:t>
      </w:r>
      <w:hyperlink r:id="rId11" w:history="1">
        <w:r w:rsidRPr="00D91357">
          <w:rPr>
            <w:rStyle w:val="Collegamentoipertestuale"/>
            <w:rFonts w:ascii="Titillium" w:hAnsi="Titillium"/>
            <w:i/>
            <w:sz w:val="18"/>
            <w:szCs w:val="18"/>
          </w:rPr>
          <w:t>https://www.anticorruzione.it/-/gestione-contributi-gara</w:t>
        </w:r>
      </w:hyperlink>
      <w:r>
        <w:rPr>
          <w:rFonts w:ascii="Titillium" w:hAnsi="Titillium" w:cs="Calibri"/>
          <w:i/>
          <w:sz w:val="18"/>
          <w:szCs w:val="18"/>
        </w:rPr>
        <w:t>]</w:t>
      </w:r>
      <w:r>
        <w:rPr>
          <w:rFonts w:ascii="Titillium" w:hAnsi="Titillium" w:cs="Arial"/>
          <w:sz w:val="18"/>
          <w:szCs w:val="18"/>
        </w:rPr>
        <w:t xml:space="preserve">. </w:t>
      </w:r>
      <w:r w:rsidRPr="00260794">
        <w:rPr>
          <w:rFonts w:ascii="Titillium" w:hAnsi="Titillium" w:cs="Arial"/>
          <w:sz w:val="18"/>
          <w:szCs w:val="18"/>
        </w:rPr>
        <w:t xml:space="preserve">Il pagamento del contributo è condizione di ammissibilità dell’offerta. </w:t>
      </w:r>
      <w:r>
        <w:rPr>
          <w:rFonts w:ascii="Titillium" w:hAnsi="Titillium" w:cs="Arial"/>
          <w:sz w:val="18"/>
          <w:szCs w:val="18"/>
        </w:rPr>
        <w:t xml:space="preserve">il pagamento è </w:t>
      </w:r>
      <w:r w:rsidRPr="00260794">
        <w:rPr>
          <w:rFonts w:ascii="Titillium" w:hAnsi="Titillium" w:cs="Arial"/>
          <w:sz w:val="18"/>
          <w:szCs w:val="18"/>
        </w:rPr>
        <w:t>verifica</w:t>
      </w:r>
      <w:r>
        <w:rPr>
          <w:rFonts w:ascii="Titillium" w:hAnsi="Titillium" w:cs="Arial"/>
          <w:sz w:val="18"/>
          <w:szCs w:val="18"/>
        </w:rPr>
        <w:t>to</w:t>
      </w:r>
      <w:r w:rsidRPr="00260794">
        <w:rPr>
          <w:rFonts w:ascii="Titillium" w:hAnsi="Titillium" w:cs="Arial"/>
          <w:sz w:val="18"/>
          <w:szCs w:val="18"/>
        </w:rPr>
        <w:t xml:space="preserve"> mediante il FVOE. In caso di esito negativo della verifica, è attivata la procedura di soccorso istruttorio. In caso di mancata regolarizzazione nel termine assegnato, l’offerta è dichiarata inammissibile.</w:t>
      </w:r>
      <w:r>
        <w:rPr>
          <w:rFonts w:ascii="Titillium" w:hAnsi="Titillium" w:cs="Arial"/>
          <w:sz w:val="18"/>
          <w:szCs w:val="18"/>
        </w:rPr>
        <w:t xml:space="preserve"> </w:t>
      </w:r>
      <w:r>
        <w:rPr>
          <w:rFonts w:ascii="Titillium" w:hAnsi="Titillium" w:cs="Calibri"/>
          <w:sz w:val="18"/>
          <w:szCs w:val="18"/>
        </w:rPr>
        <w:t>Il contributo è dovuto per ciascun lotto per il quale si presenta offerta secondo gli importi descritti nella sottostante tabella:</w:t>
      </w:r>
    </w:p>
    <w:p w14:paraId="59B5CD22" w14:textId="77777777" w:rsidR="00276DF7" w:rsidRDefault="00276DF7" w:rsidP="00276DF7">
      <w:pPr>
        <w:shd w:val="clear" w:color="auto" w:fill="F2F2F2" w:themeFill="background1" w:themeFillShade="F2"/>
        <w:spacing w:before="60" w:after="60"/>
      </w:pPr>
    </w:p>
    <w:tbl>
      <w:tblPr>
        <w:tblW w:w="9210" w:type="dxa"/>
        <w:tblInd w:w="-108" w:type="dxa"/>
        <w:tblLook w:val="04A0" w:firstRow="1" w:lastRow="0" w:firstColumn="1" w:lastColumn="0" w:noHBand="0" w:noVBand="1"/>
      </w:tblPr>
      <w:tblGrid>
        <w:gridCol w:w="3070"/>
        <w:gridCol w:w="3070"/>
        <w:gridCol w:w="3070"/>
      </w:tblGrid>
      <w:tr w:rsidR="00276DF7" w14:paraId="758F7D9A" w14:textId="77777777" w:rsidTr="00EA5131">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8B71DC" w14:textId="77777777" w:rsidR="00276DF7" w:rsidRDefault="00276DF7" w:rsidP="00276DF7">
            <w:pPr>
              <w:shd w:val="clear" w:color="auto" w:fill="F2F2F2" w:themeFill="background1" w:themeFillShade="F2"/>
              <w:spacing w:before="60" w:after="60"/>
              <w:jc w:val="center"/>
              <w:rPr>
                <w:rFonts w:ascii="Titillium" w:hAnsi="Titillium" w:cs="Calibri"/>
                <w:sz w:val="18"/>
                <w:szCs w:val="18"/>
              </w:rPr>
            </w:pPr>
            <w:r>
              <w:rPr>
                <w:rFonts w:ascii="Titillium" w:hAnsi="Titillium" w:cs="Calibri"/>
                <w:sz w:val="18"/>
                <w:szCs w:val="18"/>
              </w:rPr>
              <w:t>Numero lotto</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9BDCF7" w14:textId="77777777" w:rsidR="00276DF7" w:rsidRDefault="00276DF7" w:rsidP="00276DF7">
            <w:pPr>
              <w:shd w:val="clear" w:color="auto" w:fill="F2F2F2" w:themeFill="background1" w:themeFillShade="F2"/>
              <w:spacing w:before="60" w:after="60"/>
              <w:jc w:val="center"/>
              <w:rPr>
                <w:rFonts w:ascii="Titillium" w:hAnsi="Titillium" w:cs="Calibri"/>
                <w:sz w:val="18"/>
                <w:szCs w:val="18"/>
              </w:rPr>
            </w:pPr>
            <w:r>
              <w:rPr>
                <w:rFonts w:ascii="Titillium" w:hAnsi="Titillium" w:cs="Calibri"/>
                <w:sz w:val="18"/>
                <w:szCs w:val="18"/>
              </w:rPr>
              <w:t>CIG</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8B39E" w14:textId="77777777" w:rsidR="00276DF7" w:rsidRDefault="00276DF7" w:rsidP="00276DF7">
            <w:pPr>
              <w:shd w:val="clear" w:color="auto" w:fill="F2F2F2" w:themeFill="background1" w:themeFillShade="F2"/>
              <w:spacing w:before="60" w:after="60"/>
              <w:jc w:val="center"/>
              <w:rPr>
                <w:rFonts w:ascii="Titillium" w:hAnsi="Titillium" w:cs="Calibri"/>
                <w:sz w:val="18"/>
                <w:szCs w:val="18"/>
              </w:rPr>
            </w:pPr>
            <w:r>
              <w:rPr>
                <w:rFonts w:ascii="Titillium" w:hAnsi="Titillium" w:cs="Calibri"/>
                <w:sz w:val="18"/>
                <w:szCs w:val="18"/>
              </w:rPr>
              <w:t>Importo contributo ANAC</w:t>
            </w:r>
          </w:p>
        </w:tc>
      </w:tr>
      <w:tr w:rsidR="00276DF7" w14:paraId="3B673595" w14:textId="77777777" w:rsidTr="00EA5131">
        <w:tc>
          <w:tcPr>
            <w:tcW w:w="3070" w:type="dxa"/>
            <w:tcBorders>
              <w:top w:val="single" w:sz="4" w:space="0" w:color="000000"/>
              <w:left w:val="single" w:sz="4" w:space="0" w:color="000000"/>
              <w:bottom w:val="single" w:sz="4" w:space="0" w:color="000000"/>
              <w:right w:val="single" w:sz="4" w:space="0" w:color="000000"/>
            </w:tcBorders>
          </w:tcPr>
          <w:p w14:paraId="1CD2688B" w14:textId="77777777" w:rsidR="00276DF7" w:rsidRDefault="00276DF7" w:rsidP="00276DF7">
            <w:pPr>
              <w:shd w:val="clear" w:color="auto" w:fill="F2F2F2" w:themeFill="background1" w:themeFillShade="F2"/>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4F01700A" w14:textId="77777777" w:rsidR="00276DF7" w:rsidRDefault="00276DF7" w:rsidP="00276DF7">
            <w:pPr>
              <w:shd w:val="clear" w:color="auto" w:fill="F2F2F2" w:themeFill="background1" w:themeFillShade="F2"/>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05341DC8" w14:textId="77777777" w:rsidR="00276DF7" w:rsidRDefault="00276DF7" w:rsidP="00276DF7">
            <w:pPr>
              <w:shd w:val="clear" w:color="auto" w:fill="F2F2F2" w:themeFill="background1" w:themeFillShade="F2"/>
              <w:spacing w:before="60" w:after="60"/>
              <w:rPr>
                <w:rFonts w:ascii="Titillium" w:hAnsi="Titillium" w:cs="Calibri"/>
                <w:sz w:val="18"/>
                <w:szCs w:val="18"/>
              </w:rPr>
            </w:pPr>
          </w:p>
        </w:tc>
      </w:tr>
      <w:tr w:rsidR="00276DF7" w14:paraId="32FC752C" w14:textId="77777777" w:rsidTr="00EA5131">
        <w:tc>
          <w:tcPr>
            <w:tcW w:w="3070" w:type="dxa"/>
            <w:tcBorders>
              <w:top w:val="single" w:sz="4" w:space="0" w:color="000000"/>
              <w:left w:val="single" w:sz="4" w:space="0" w:color="000000"/>
              <w:bottom w:val="single" w:sz="4" w:space="0" w:color="000000"/>
              <w:right w:val="single" w:sz="4" w:space="0" w:color="000000"/>
            </w:tcBorders>
          </w:tcPr>
          <w:p w14:paraId="017F6A40" w14:textId="77777777" w:rsidR="00276DF7" w:rsidRDefault="00276DF7" w:rsidP="00276DF7">
            <w:pPr>
              <w:shd w:val="clear" w:color="auto" w:fill="F2F2F2" w:themeFill="background1" w:themeFillShade="F2"/>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101BD9EB" w14:textId="77777777" w:rsidR="00276DF7" w:rsidRDefault="00276DF7" w:rsidP="00276DF7">
            <w:pPr>
              <w:shd w:val="clear" w:color="auto" w:fill="F2F2F2" w:themeFill="background1" w:themeFillShade="F2"/>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1783B67C" w14:textId="77777777" w:rsidR="00276DF7" w:rsidRDefault="00276DF7" w:rsidP="00276DF7">
            <w:pPr>
              <w:shd w:val="clear" w:color="auto" w:fill="F2F2F2" w:themeFill="background1" w:themeFillShade="F2"/>
              <w:spacing w:before="60" w:after="60"/>
              <w:rPr>
                <w:rFonts w:ascii="Titillium" w:hAnsi="Titillium" w:cs="Calibri"/>
                <w:sz w:val="18"/>
                <w:szCs w:val="18"/>
              </w:rPr>
            </w:pPr>
          </w:p>
        </w:tc>
      </w:tr>
    </w:tbl>
    <w:p w14:paraId="1A27EB12" w14:textId="77777777" w:rsidR="00276DF7" w:rsidRDefault="00276DF7" w:rsidP="00276DF7">
      <w:pPr>
        <w:shd w:val="clear" w:color="auto" w:fill="F2F2F2" w:themeFill="background1" w:themeFillShade="F2"/>
        <w:spacing w:before="60" w:after="60"/>
        <w:rPr>
          <w:rFonts w:ascii="Titillium" w:hAnsi="Titillium" w:cs="Calibri"/>
          <w:sz w:val="18"/>
          <w:szCs w:val="18"/>
        </w:rPr>
      </w:pPr>
    </w:p>
    <w:tbl>
      <w:tblPr>
        <w:tblW w:w="9210" w:type="dxa"/>
        <w:tblInd w:w="-108" w:type="dxa"/>
        <w:tblLook w:val="04A0" w:firstRow="1" w:lastRow="0" w:firstColumn="1" w:lastColumn="0" w:noHBand="0" w:noVBand="1"/>
      </w:tblPr>
      <w:tblGrid>
        <w:gridCol w:w="9210"/>
      </w:tblGrid>
      <w:tr w:rsidR="00276DF7" w14:paraId="013864BD" w14:textId="77777777" w:rsidTr="00EA5131">
        <w:tc>
          <w:tcPr>
            <w:tcW w:w="9210" w:type="dxa"/>
            <w:tcBorders>
              <w:top w:val="single" w:sz="4" w:space="0" w:color="000000"/>
              <w:left w:val="single" w:sz="4" w:space="0" w:color="000000"/>
              <w:bottom w:val="single" w:sz="4" w:space="0" w:color="000000"/>
              <w:right w:val="single" w:sz="4" w:space="0" w:color="000000"/>
            </w:tcBorders>
          </w:tcPr>
          <w:p w14:paraId="0871D7B7" w14:textId="77777777" w:rsidR="00276DF7" w:rsidRDefault="00276DF7" w:rsidP="00276DF7">
            <w:pPr>
              <w:shd w:val="clear" w:color="auto" w:fill="F2F2F2" w:themeFill="background1" w:themeFillShade="F2"/>
              <w:spacing w:before="60" w:after="60"/>
              <w:rPr>
                <w:rFonts w:ascii="Titillium" w:hAnsi="Titillium"/>
                <w:i/>
                <w:sz w:val="18"/>
                <w:szCs w:val="18"/>
              </w:rPr>
            </w:pPr>
            <w:r w:rsidRPr="00472411">
              <w:rPr>
                <w:rFonts w:ascii="Titillium" w:hAnsi="Titillium" w:cs="Calibri"/>
                <w:i/>
                <w:sz w:val="18"/>
                <w:szCs w:val="18"/>
              </w:rPr>
              <w:t xml:space="preserve">N.B. Indicazioni operative sulle modalità di pagamento del contributo sono disponibili sul sito dell’Autorità Nazionale Anticorruzione al seguente link: </w:t>
            </w:r>
            <w:hyperlink r:id="rId12" w:history="1">
              <w:r w:rsidRPr="00472411">
                <w:rPr>
                  <w:rStyle w:val="Collegamentoipertestuale"/>
                  <w:rFonts w:ascii="Titillium" w:hAnsi="Titillium"/>
                  <w:i/>
                  <w:sz w:val="18"/>
                  <w:szCs w:val="18"/>
                </w:rPr>
                <w:t>https://www.anticorruzione.it/-/portale-dei-pagamenti-di-anac</w:t>
              </w:r>
            </w:hyperlink>
            <w:r w:rsidRPr="00472411">
              <w:rPr>
                <w:rFonts w:ascii="Titillium" w:hAnsi="Titillium"/>
                <w:i/>
                <w:sz w:val="18"/>
                <w:szCs w:val="18"/>
              </w:rPr>
              <w:t xml:space="preserve"> </w:t>
            </w:r>
          </w:p>
          <w:p w14:paraId="126D2BDC" w14:textId="77777777" w:rsidR="00276DF7" w:rsidRPr="00472411" w:rsidRDefault="00276DF7" w:rsidP="00276DF7">
            <w:pPr>
              <w:shd w:val="clear" w:color="auto" w:fill="F2F2F2" w:themeFill="background1" w:themeFillShade="F2"/>
              <w:spacing w:before="60" w:after="60"/>
              <w:rPr>
                <w:rFonts w:ascii="Titillium" w:hAnsi="Titillium" w:cs="Calibri"/>
                <w:i/>
                <w:sz w:val="18"/>
                <w:szCs w:val="18"/>
              </w:rPr>
            </w:pPr>
            <w:r>
              <w:rPr>
                <w:rFonts w:ascii="Titillium" w:hAnsi="Titillium" w:cs="Calibri"/>
                <w:i/>
                <w:sz w:val="18"/>
                <w:szCs w:val="18"/>
              </w:rPr>
              <w:t>L</w:t>
            </w:r>
            <w:r w:rsidRPr="0018777F">
              <w:rPr>
                <w:rFonts w:ascii="Titillium" w:hAnsi="Titillium" w:cs="Calibri"/>
                <w:i/>
                <w:sz w:val="18"/>
                <w:szCs w:val="18"/>
              </w:rPr>
              <w:t xml:space="preserve">'importo del contributo è calcolato sul valore stimato d'appalto comprensivo delle </w:t>
            </w:r>
            <w:r>
              <w:rPr>
                <w:rFonts w:ascii="Titillium" w:hAnsi="Titillium" w:cs="Calibri"/>
                <w:i/>
                <w:sz w:val="18"/>
                <w:szCs w:val="18"/>
              </w:rPr>
              <w:t xml:space="preserve">eventuali </w:t>
            </w:r>
            <w:r w:rsidRPr="0018777F">
              <w:rPr>
                <w:rFonts w:ascii="Titillium" w:hAnsi="Titillium" w:cs="Calibri"/>
                <w:i/>
                <w:sz w:val="18"/>
                <w:szCs w:val="18"/>
              </w:rPr>
              <w:t>opzioni contrattuali</w:t>
            </w:r>
            <w:r>
              <w:rPr>
                <w:rFonts w:ascii="Titillium" w:hAnsi="Titillium" w:cs="Calibri"/>
                <w:i/>
                <w:sz w:val="18"/>
                <w:szCs w:val="18"/>
              </w:rPr>
              <w:t xml:space="preserve"> previste nella documentazione di gara.</w:t>
            </w:r>
          </w:p>
        </w:tc>
      </w:tr>
    </w:tbl>
    <w:p w14:paraId="6B7D5F44" w14:textId="77777777" w:rsidR="00276DF7" w:rsidRDefault="00276DF7" w:rsidP="00276DF7">
      <w:pPr>
        <w:shd w:val="clear" w:color="auto" w:fill="F2F2F2" w:themeFill="background1" w:themeFillShade="F2"/>
        <w:spacing w:before="60" w:after="60"/>
        <w:ind w:left="425"/>
        <w:rPr>
          <w:rFonts w:ascii="Titillium" w:hAnsi="Titillium" w:cs="Calibri"/>
        </w:rPr>
      </w:pPr>
    </w:p>
    <w:p w14:paraId="43BCA987" w14:textId="77777777" w:rsidR="00276DF7" w:rsidRDefault="00276DF7" w:rsidP="00276DF7">
      <w:pPr>
        <w:shd w:val="clear" w:color="auto" w:fill="F2F2F2" w:themeFill="background1" w:themeFillShade="F2"/>
        <w:spacing w:before="60" w:after="60"/>
      </w:pPr>
      <w:r w:rsidRPr="008B37AD">
        <w:rPr>
          <w:rFonts w:ascii="Titillium" w:hAnsi="Titillium" w:cs="Calibri"/>
          <w:sz w:val="18"/>
          <w:szCs w:val="18"/>
        </w:rPr>
        <w:t>La stazione appaltante accerta il pagamento del contributo mediante consultazione del F</w:t>
      </w:r>
      <w:r>
        <w:rPr>
          <w:rFonts w:ascii="Titillium" w:hAnsi="Titillium" w:cs="Calibri"/>
          <w:sz w:val="18"/>
          <w:szCs w:val="18"/>
        </w:rPr>
        <w:t>VOE</w:t>
      </w:r>
      <w:r w:rsidRPr="008B37AD">
        <w:rPr>
          <w:rFonts w:ascii="Titillium" w:hAnsi="Titillium" w:cs="Calibri"/>
          <w:sz w:val="18"/>
          <w:szCs w:val="18"/>
        </w:rPr>
        <w:t xml:space="preserve"> ai fini dell’ammissione alla gara.</w:t>
      </w:r>
      <w:r>
        <w:rPr>
          <w:rFonts w:ascii="Titillium" w:hAnsi="Titillium" w:cs="Calibri"/>
          <w:sz w:val="18"/>
          <w:szCs w:val="18"/>
        </w:rPr>
        <w:t xml:space="preserve"> </w:t>
      </w:r>
    </w:p>
    <w:p w14:paraId="37C08A5E"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Qualora il pagamento non risulti registrato nel sistema, la stazione appaltante richiede,</w:t>
      </w:r>
      <w:r w:rsidRPr="00D91357">
        <w:rPr>
          <w:rFonts w:ascii="Titillium" w:hAnsi="Titillium" w:cs="Calibri"/>
          <w:sz w:val="18"/>
          <w:szCs w:val="18"/>
        </w:rPr>
        <w:t xml:space="preserve"> </w:t>
      </w:r>
      <w:r>
        <w:rPr>
          <w:rFonts w:ascii="Titillium" w:hAnsi="Titillium" w:cs="Calibri"/>
          <w:sz w:val="18"/>
          <w:szCs w:val="18"/>
        </w:rPr>
        <w:t>mediante soccorso istruttorio, la presentazione della ricevuta di avvenuto pagamento. L’operatore economico che non adempia alla richiesta nel termine stabilito dalla stazione appaltante è escluso dalla procedura di gara per inammissibilità dell’offerta.</w:t>
      </w:r>
    </w:p>
    <w:p w14:paraId="70890852" w14:textId="77777777" w:rsidR="00276DF7" w:rsidRDefault="00276DF7" w:rsidP="00276DF7">
      <w:pPr>
        <w:pStyle w:val="Paragrafoelenco"/>
        <w:shd w:val="clear" w:color="auto" w:fill="F2F2F2" w:themeFill="background1" w:themeFillShade="F2"/>
        <w:spacing w:before="60" w:after="60"/>
        <w:ind w:left="0"/>
      </w:pPr>
      <w:r>
        <w:rPr>
          <w:rFonts w:ascii="Titillium" w:hAnsi="Titillium" w:cs="Calibri"/>
          <w:b/>
          <w:i/>
          <w:sz w:val="18"/>
          <w:szCs w:val="18"/>
        </w:rPr>
        <w:t>[o, in alternativa, se il pagamento del contributo non è dovuto]</w:t>
      </w:r>
    </w:p>
    <w:p w14:paraId="54111944" w14:textId="77777777" w:rsidR="00276DF7" w:rsidRDefault="00276DF7" w:rsidP="00276DF7">
      <w:pPr>
        <w:shd w:val="clear" w:color="auto" w:fill="F2F2F2" w:themeFill="background1" w:themeFillShade="F2"/>
        <w:rPr>
          <w:rFonts w:ascii="Titillium" w:hAnsi="Titillium" w:cs="Calibri"/>
          <w:sz w:val="18"/>
          <w:szCs w:val="18"/>
        </w:rPr>
      </w:pPr>
      <w:r>
        <w:rPr>
          <w:rFonts w:ascii="Titillium" w:hAnsi="Titillium" w:cs="Calibri"/>
          <w:sz w:val="18"/>
          <w:szCs w:val="18"/>
        </w:rPr>
        <w:t xml:space="preserve">Ai sensi dell’articolo 1, punto 2, della delibera ANAC n.  … del … </w:t>
      </w:r>
      <w:r w:rsidRPr="00472411">
        <w:rPr>
          <w:rFonts w:ascii="Titillium" w:hAnsi="Titillium" w:cs="Calibri"/>
          <w:i/>
          <w:sz w:val="18"/>
          <w:szCs w:val="18"/>
        </w:rPr>
        <w:t>[</w:t>
      </w:r>
      <w:r w:rsidRPr="00D91357">
        <w:rPr>
          <w:rFonts w:ascii="Titillium" w:hAnsi="Titillium" w:cs="Calibri"/>
          <w:i/>
          <w:sz w:val="18"/>
          <w:szCs w:val="18"/>
        </w:rPr>
        <w:t xml:space="preserve">ad esempio Delibera numero 621 del 20 dicembre 2022 </w:t>
      </w:r>
      <w:r w:rsidRPr="00D91357">
        <w:rPr>
          <w:rFonts w:ascii="Titillium" w:hAnsi="Titillium"/>
          <w:i/>
          <w:sz w:val="18"/>
          <w:szCs w:val="18"/>
        </w:rPr>
        <w:t xml:space="preserve">o successiva delibera pubblicata al seguente </w:t>
      </w:r>
      <w:hyperlink r:id="rId13" w:history="1">
        <w:r w:rsidRPr="00D91357">
          <w:rPr>
            <w:rStyle w:val="Collegamentoipertestuale"/>
            <w:rFonts w:ascii="Titillium" w:hAnsi="Titillium"/>
            <w:i/>
            <w:sz w:val="18"/>
            <w:szCs w:val="18"/>
          </w:rPr>
          <w:t>https://www.anticorruzione.it/-/gestione-contributi-gara</w:t>
        </w:r>
      </w:hyperlink>
      <w:r>
        <w:rPr>
          <w:rFonts w:ascii="Titillium" w:hAnsi="Titillium"/>
          <w:i/>
          <w:sz w:val="18"/>
          <w:szCs w:val="18"/>
        </w:rPr>
        <w:t xml:space="preserve">] </w:t>
      </w:r>
      <w:r>
        <w:rPr>
          <w:rFonts w:ascii="Titillium" w:hAnsi="Titillium" w:cs="Calibri"/>
          <w:sz w:val="18"/>
          <w:szCs w:val="18"/>
        </w:rPr>
        <w:t>sono esentati dal pagamento del contributo in favore dell’Autorità Nazionale Anticorruzione.</w:t>
      </w:r>
    </w:p>
    <w:p w14:paraId="2F0319B3" w14:textId="77777777" w:rsidR="00276DF7" w:rsidRDefault="00276DF7" w:rsidP="00276DF7">
      <w:pPr>
        <w:pStyle w:val="Titolo2"/>
        <w:numPr>
          <w:ilvl w:val="0"/>
          <w:numId w:val="4"/>
        </w:numPr>
        <w:shd w:val="clear" w:color="auto" w:fill="F2F2F2" w:themeFill="background1" w:themeFillShade="F2"/>
        <w:ind w:left="357" w:hanging="357"/>
      </w:pPr>
      <w:bookmarkStart w:id="1792" w:name="_Ref498595281"/>
      <w:bookmarkStart w:id="1793" w:name="_Toc139549435"/>
      <w:r>
        <w:rPr>
          <w:rFonts w:ascii="Titillium" w:hAnsi="Titillium"/>
          <w:sz w:val="18"/>
          <w:szCs w:val="18"/>
        </w:rPr>
        <w:t>MODALIT</w:t>
      </w:r>
      <w:r>
        <w:rPr>
          <w:rFonts w:ascii="Titillium" w:hAnsi="Titillium"/>
          <w:caps w:val="0"/>
          <w:sz w:val="18"/>
          <w:szCs w:val="18"/>
          <w:lang w:val="it-IT"/>
        </w:rPr>
        <w:t>À</w:t>
      </w:r>
      <w:r>
        <w:rPr>
          <w:rFonts w:ascii="Titillium" w:hAnsi="Titillium"/>
          <w:sz w:val="18"/>
          <w:szCs w:val="18"/>
        </w:rPr>
        <w:t xml:space="preserve"> DI </w:t>
      </w:r>
      <w:r>
        <w:rPr>
          <w:rFonts w:ascii="Titillium" w:hAnsi="Titillium"/>
          <w:caps w:val="0"/>
          <w:sz w:val="18"/>
          <w:szCs w:val="18"/>
        </w:rPr>
        <w:t>PRESENTAZIONE</w:t>
      </w:r>
      <w:r>
        <w:rPr>
          <w:rFonts w:ascii="Titillium" w:hAnsi="Titillium"/>
          <w:caps w:val="0"/>
          <w:sz w:val="18"/>
          <w:szCs w:val="18"/>
          <w:lang w:val="it-IT"/>
        </w:rPr>
        <w:t xml:space="preserve"> DELL’OFFERTA E SOTTOSCRIZIONE DEI DOCUMENTI DI GARA</w:t>
      </w:r>
      <w:bookmarkEnd w:id="1792"/>
      <w:bookmarkEnd w:id="1793"/>
      <w:r>
        <w:rPr>
          <w:rFonts w:ascii="Titillium" w:hAnsi="Titillium"/>
          <w:caps w:val="0"/>
          <w:sz w:val="18"/>
          <w:szCs w:val="18"/>
          <w:lang w:val="it-IT"/>
        </w:rPr>
        <w:t xml:space="preserve"> </w:t>
      </w:r>
    </w:p>
    <w:p w14:paraId="24FDB342" w14:textId="77777777" w:rsidR="00276DF7" w:rsidRPr="003D7007" w:rsidRDefault="00276DF7" w:rsidP="00276DF7">
      <w:pPr>
        <w:shd w:val="clear" w:color="auto" w:fill="F2F2F2" w:themeFill="background1" w:themeFillShade="F2"/>
        <w:tabs>
          <w:tab w:val="left" w:pos="360"/>
        </w:tabs>
        <w:spacing w:before="60" w:after="60"/>
        <w:rPr>
          <w:rFonts w:ascii="Titillium" w:hAnsi="Titillium"/>
          <w:sz w:val="18"/>
          <w:szCs w:val="18"/>
        </w:rPr>
      </w:pPr>
      <w:r w:rsidRPr="002A5164">
        <w:rPr>
          <w:rFonts w:ascii="Titillium" w:hAnsi="Titillium" w:cs="Calibri"/>
          <w:bCs/>
          <w:iCs/>
          <w:sz w:val="18"/>
          <w:szCs w:val="18"/>
        </w:rPr>
        <w:t xml:space="preserve">L’offerta e la documentazione relativa alla procedura devono essere </w:t>
      </w:r>
      <w:r w:rsidRPr="003D7007">
        <w:rPr>
          <w:rFonts w:ascii="Titillium" w:hAnsi="Titillium" w:cs="Calibri"/>
          <w:bCs/>
          <w:iCs/>
          <w:sz w:val="18"/>
          <w:szCs w:val="18"/>
        </w:rPr>
        <w:t xml:space="preserve">presentate </w:t>
      </w:r>
      <w:r w:rsidRPr="003D7007">
        <w:rPr>
          <w:rFonts w:ascii="Titillium" w:hAnsi="Titillium" w:cs="Calibri"/>
          <w:sz w:val="18"/>
          <w:szCs w:val="18"/>
        </w:rPr>
        <w:t>esclusivamente</w:t>
      </w:r>
      <w:r>
        <w:rPr>
          <w:rFonts w:ascii="Titillium" w:hAnsi="Titillium" w:cs="Calibri"/>
          <w:sz w:val="18"/>
          <w:szCs w:val="18"/>
        </w:rPr>
        <w:t xml:space="preserve"> attraverso la Piattaforma. </w:t>
      </w:r>
      <w:r w:rsidRPr="00F011D7">
        <w:rPr>
          <w:rFonts w:ascii="Titillium" w:hAnsi="Titillium" w:cs="Calibri"/>
          <w:sz w:val="18"/>
          <w:szCs w:val="18"/>
        </w:rPr>
        <w:t xml:space="preserve">Non sono considerate valide le offerte </w:t>
      </w:r>
      <w:r w:rsidRPr="00F011D7">
        <w:rPr>
          <w:rFonts w:ascii="Titillium" w:hAnsi="Titillium" w:cs="Calibri"/>
          <w:sz w:val="18"/>
          <w:szCs w:val="18"/>
        </w:rPr>
        <w:lastRenderedPageBreak/>
        <w:t>presentate attraverso modalità diverse da quelle previste nel presente disciplinare</w:t>
      </w:r>
      <w:r>
        <w:rPr>
          <w:rFonts w:ascii="Titillium" w:hAnsi="Titillium" w:cs="Calibri"/>
          <w:sz w:val="18"/>
          <w:szCs w:val="18"/>
        </w:rPr>
        <w:t xml:space="preserve">. L’offerta </w:t>
      </w:r>
      <w:r w:rsidRPr="00AE4667">
        <w:rPr>
          <w:rFonts w:ascii="Titillium" w:hAnsi="Titillium" w:cs="Calibri"/>
          <w:i/>
          <w:iCs/>
          <w:sz w:val="18"/>
          <w:szCs w:val="18"/>
        </w:rPr>
        <w:t>[ove richiesto</w:t>
      </w:r>
      <w:r>
        <w:rPr>
          <w:rFonts w:ascii="Titillium" w:hAnsi="Titillium" w:cs="Calibri"/>
          <w:i/>
          <w:iCs/>
          <w:sz w:val="18"/>
          <w:szCs w:val="18"/>
        </w:rPr>
        <w:t>,</w:t>
      </w:r>
      <w:r w:rsidRPr="00AE4667">
        <w:rPr>
          <w:rFonts w:ascii="Titillium" w:hAnsi="Titillium" w:cs="Calibri"/>
          <w:i/>
          <w:iCs/>
          <w:sz w:val="18"/>
          <w:szCs w:val="18"/>
        </w:rPr>
        <w:t xml:space="preserve"> aggiungere “</w:t>
      </w:r>
      <w:r w:rsidRPr="00AE4667">
        <w:rPr>
          <w:rFonts w:ascii="Titillium" w:hAnsi="Titillium" w:cs="Calibri"/>
          <w:sz w:val="18"/>
          <w:szCs w:val="18"/>
        </w:rPr>
        <w:t>e la documentazione</w:t>
      </w:r>
      <w:r w:rsidRPr="00AE4667">
        <w:rPr>
          <w:rFonts w:ascii="Titillium" w:hAnsi="Titillium" w:cs="Calibri"/>
          <w:i/>
          <w:iCs/>
          <w:sz w:val="18"/>
          <w:szCs w:val="18"/>
        </w:rPr>
        <w:t>”]</w:t>
      </w:r>
      <w:r>
        <w:rPr>
          <w:rFonts w:ascii="Titillium" w:hAnsi="Titillium" w:cs="Calibri"/>
          <w:sz w:val="18"/>
          <w:szCs w:val="18"/>
        </w:rPr>
        <w:t xml:space="preserve"> </w:t>
      </w:r>
      <w:r>
        <w:rPr>
          <w:rFonts w:ascii="Titillium" w:hAnsi="Titillium" w:cs="Calibri"/>
          <w:bCs/>
          <w:iCs/>
          <w:sz w:val="18"/>
          <w:szCs w:val="18"/>
        </w:rPr>
        <w:t xml:space="preserve">deve </w:t>
      </w:r>
      <w:r w:rsidRPr="003D7007">
        <w:rPr>
          <w:rFonts w:ascii="Titillium" w:hAnsi="Titillium" w:cs="Calibri"/>
          <w:bCs/>
          <w:iCs/>
          <w:sz w:val="18"/>
          <w:szCs w:val="18"/>
        </w:rPr>
        <w:t>essere sottoscritt</w:t>
      </w:r>
      <w:r>
        <w:rPr>
          <w:rFonts w:ascii="Titillium" w:hAnsi="Titillium" w:cs="Calibri"/>
          <w:bCs/>
          <w:iCs/>
          <w:sz w:val="18"/>
          <w:szCs w:val="18"/>
        </w:rPr>
        <w:t>a</w:t>
      </w:r>
      <w:r w:rsidRPr="003D7007">
        <w:rPr>
          <w:rFonts w:ascii="Titillium" w:hAnsi="Titillium" w:cs="Calibri"/>
          <w:bCs/>
          <w:iCs/>
          <w:sz w:val="18"/>
          <w:szCs w:val="18"/>
        </w:rPr>
        <w:t xml:space="preserve"> con firma digitale o altra firma elettronica qualificata o firma elettronica avanzata.</w:t>
      </w:r>
    </w:p>
    <w:p w14:paraId="33D2AC8A"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3D7007">
        <w:rPr>
          <w:rFonts w:ascii="Titillium" w:hAnsi="Titillium" w:cs="Calibri"/>
          <w:sz w:val="18"/>
          <w:szCs w:val="18"/>
        </w:rPr>
        <w:t xml:space="preserve">Le dichiarazioni sostitutive si redigono ai sensi degli articoli </w:t>
      </w:r>
      <w:r>
        <w:rPr>
          <w:rFonts w:ascii="Titillium" w:hAnsi="Titillium" w:cs="Calibri"/>
          <w:sz w:val="18"/>
          <w:szCs w:val="18"/>
        </w:rPr>
        <w:t xml:space="preserve">19, </w:t>
      </w:r>
      <w:r w:rsidRPr="003D7007">
        <w:rPr>
          <w:rFonts w:ascii="Titillium" w:hAnsi="Titillium" w:cs="Calibri"/>
          <w:sz w:val="18"/>
          <w:szCs w:val="18"/>
        </w:rPr>
        <w:t xml:space="preserve">46 e 47 del decreto del Presidente della Repubblica n.  445/2000. </w:t>
      </w:r>
    </w:p>
    <w:p w14:paraId="34320180" w14:textId="77777777" w:rsidR="00276DF7" w:rsidRPr="003D7007" w:rsidRDefault="00276DF7" w:rsidP="00276DF7">
      <w:pPr>
        <w:shd w:val="clear" w:color="auto" w:fill="F2F2F2" w:themeFill="background1" w:themeFillShade="F2"/>
        <w:spacing w:before="60" w:after="60"/>
      </w:pPr>
      <w:r w:rsidRPr="009023A4">
        <w:rPr>
          <w:rFonts w:ascii="Titillium" w:hAnsi="Titillium" w:cs="Calibri"/>
          <w:sz w:val="18"/>
          <w:szCs w:val="18"/>
        </w:rPr>
        <w:t>La documentazione presentata in copia viene prodotta ai sensi del decreto legislativo n. 82/05.</w:t>
      </w:r>
      <w:r w:rsidRPr="003D7007">
        <w:rPr>
          <w:rFonts w:ascii="Titillium" w:hAnsi="Titillium" w:cs="Calibri"/>
          <w:sz w:val="18"/>
          <w:szCs w:val="18"/>
        </w:rPr>
        <w:t xml:space="preserve"> </w:t>
      </w:r>
    </w:p>
    <w:p w14:paraId="7D705D65" w14:textId="77777777" w:rsidR="00276DF7" w:rsidRPr="003D7007" w:rsidRDefault="00276DF7" w:rsidP="00276DF7">
      <w:pPr>
        <w:shd w:val="clear" w:color="auto" w:fill="F2F2F2" w:themeFill="background1" w:themeFillShade="F2"/>
        <w:tabs>
          <w:tab w:val="left" w:pos="360"/>
        </w:tabs>
        <w:spacing w:before="60" w:after="60"/>
      </w:pPr>
      <w:r w:rsidRPr="006B0128">
        <w:rPr>
          <w:rFonts w:ascii="Titillium" w:hAnsi="Titillium" w:cs="Calibri"/>
          <w:b/>
          <w:i/>
          <w:sz w:val="18"/>
          <w:szCs w:val="18"/>
        </w:rPr>
        <w:t>[</w:t>
      </w:r>
      <w:r>
        <w:rPr>
          <w:rFonts w:ascii="Titillium" w:hAnsi="Titillium" w:cs="Calibri"/>
          <w:b/>
          <w:bCs/>
          <w:i/>
          <w:sz w:val="18"/>
          <w:szCs w:val="18"/>
        </w:rPr>
        <w:t>In caso di richiesta di campioni o altri documenti cartacei non altrimenti acquisibili</w:t>
      </w:r>
      <w:r w:rsidRPr="006B0128">
        <w:rPr>
          <w:rFonts w:ascii="Titillium" w:hAnsi="Titillium" w:cs="Calibri"/>
          <w:b/>
          <w:i/>
          <w:sz w:val="18"/>
          <w:szCs w:val="18"/>
        </w:rPr>
        <w:t xml:space="preserve">] </w:t>
      </w:r>
      <w:r w:rsidRPr="006B0128">
        <w:rPr>
          <w:rFonts w:ascii="Titillium" w:hAnsi="Titillium" w:cs="Calibri"/>
          <w:sz w:val="18"/>
          <w:szCs w:val="18"/>
        </w:rPr>
        <w:t xml:space="preserve">I </w:t>
      </w:r>
      <w:r w:rsidRPr="003D7007">
        <w:rPr>
          <w:rFonts w:ascii="Titillium" w:hAnsi="Titillium" w:cs="Calibri"/>
          <w:sz w:val="18"/>
          <w:szCs w:val="18"/>
        </w:rPr>
        <w:t xml:space="preserve">campioni </w:t>
      </w:r>
      <w:r w:rsidRPr="003D7007">
        <w:rPr>
          <w:rFonts w:ascii="Titillium" w:hAnsi="Titillium" w:cs="Calibri"/>
          <w:i/>
          <w:sz w:val="18"/>
          <w:szCs w:val="18"/>
        </w:rPr>
        <w:t>[e i documenti cartacei non altrimenti acquisibili, specifica quali]</w:t>
      </w:r>
      <w:r w:rsidRPr="003D7007">
        <w:rPr>
          <w:rFonts w:ascii="Titillium" w:hAnsi="Titillium" w:cs="Calibri"/>
          <w:sz w:val="18"/>
          <w:szCs w:val="18"/>
        </w:rPr>
        <w:t xml:space="preserve"> devono essere trasmessi al seguente indirizzo: … </w:t>
      </w:r>
      <w:r w:rsidRPr="003D7007">
        <w:rPr>
          <w:rFonts w:ascii="Titillium" w:hAnsi="Titillium" w:cs="Calibri"/>
          <w:i/>
          <w:sz w:val="18"/>
          <w:szCs w:val="18"/>
        </w:rPr>
        <w:t xml:space="preserve">[indicare l’indirizzo]. </w:t>
      </w:r>
    </w:p>
    <w:p w14:paraId="5ABBD9FC" w14:textId="77777777" w:rsidR="00276DF7" w:rsidRPr="003D7007" w:rsidRDefault="00276DF7" w:rsidP="00276DF7">
      <w:pPr>
        <w:shd w:val="clear" w:color="auto" w:fill="F2F2F2" w:themeFill="background1" w:themeFillShade="F2"/>
        <w:tabs>
          <w:tab w:val="left" w:pos="360"/>
        </w:tabs>
        <w:spacing w:before="60" w:after="60"/>
        <w:rPr>
          <w:rFonts w:ascii="Titillium" w:hAnsi="Titillium" w:cs="Calibri"/>
          <w:sz w:val="18"/>
          <w:szCs w:val="18"/>
        </w:rPr>
      </w:pPr>
      <w:r w:rsidRPr="003D7007">
        <w:rPr>
          <w:rFonts w:ascii="Titillium" w:hAnsi="Titillium" w:cs="Calibri"/>
          <w:bCs/>
          <w:iCs/>
          <w:sz w:val="18"/>
          <w:szCs w:val="18"/>
        </w:rPr>
        <w:t>L’offerta deve pervenire</w:t>
      </w:r>
      <w:r w:rsidRPr="003D7007">
        <w:rPr>
          <w:rFonts w:ascii="Titillium" w:hAnsi="Titillium" w:cs="Calibri"/>
          <w:sz w:val="18"/>
          <w:szCs w:val="18"/>
        </w:rPr>
        <w:t xml:space="preserve"> entro e non oltre le ore … </w:t>
      </w:r>
      <w:r w:rsidRPr="003D7007">
        <w:rPr>
          <w:rFonts w:ascii="Titillium" w:hAnsi="Titillium" w:cs="Calibri"/>
          <w:i/>
          <w:sz w:val="18"/>
          <w:szCs w:val="18"/>
        </w:rPr>
        <w:t xml:space="preserve">[indicare] </w:t>
      </w:r>
      <w:r w:rsidRPr="003D7007">
        <w:rPr>
          <w:rFonts w:ascii="Titillium" w:hAnsi="Titillium" w:cs="Calibri"/>
          <w:sz w:val="18"/>
          <w:szCs w:val="18"/>
        </w:rPr>
        <w:t xml:space="preserve">del giorno … </w:t>
      </w:r>
      <w:r w:rsidRPr="003D7007">
        <w:rPr>
          <w:rFonts w:ascii="Titillium" w:hAnsi="Titillium" w:cs="Calibri"/>
          <w:i/>
          <w:sz w:val="18"/>
          <w:szCs w:val="18"/>
        </w:rPr>
        <w:t xml:space="preserve">[indicare] </w:t>
      </w:r>
      <w:r w:rsidRPr="003D7007">
        <w:rPr>
          <w:rFonts w:ascii="Titillium" w:hAnsi="Titillium" w:cs="Calibri"/>
          <w:sz w:val="18"/>
          <w:szCs w:val="18"/>
        </w:rPr>
        <w:t>a pena di irricevibilità</w:t>
      </w:r>
      <w:r w:rsidRPr="003D7007">
        <w:rPr>
          <w:rFonts w:ascii="Titillium" w:hAnsi="Titillium"/>
          <w:sz w:val="18"/>
          <w:szCs w:val="18"/>
        </w:rPr>
        <w:t>.</w:t>
      </w:r>
      <w:r w:rsidRPr="003D7007">
        <w:rPr>
          <w:rFonts w:ascii="Titillium" w:hAnsi="Titillium" w:cs="Calibri"/>
          <w:sz w:val="18"/>
          <w:szCs w:val="18"/>
        </w:rPr>
        <w:t xml:space="preserve"> La Piattaforma non accetta offerte presentate dopo la data e l’orario stabiliti come termine ultimo di presentazione dell’offerta. </w:t>
      </w:r>
    </w:p>
    <w:p w14:paraId="73A680C5" w14:textId="77777777" w:rsidR="00276DF7" w:rsidRDefault="00276DF7" w:rsidP="00276DF7">
      <w:pPr>
        <w:shd w:val="clear" w:color="auto" w:fill="F2F2F2" w:themeFill="background1" w:themeFillShade="F2"/>
        <w:spacing w:before="60" w:after="60"/>
      </w:pPr>
      <w:r w:rsidRPr="00B02226">
        <w:rPr>
          <w:rFonts w:ascii="Titillium" w:hAnsi="Titillium"/>
          <w:iCs/>
          <w:sz w:val="18"/>
          <w:szCs w:val="18"/>
        </w:rPr>
        <w:t>Per l’individuazione d</w:t>
      </w:r>
      <w:r>
        <w:rPr>
          <w:rFonts w:ascii="Titillium" w:hAnsi="Titillium"/>
          <w:iCs/>
          <w:sz w:val="18"/>
          <w:szCs w:val="18"/>
        </w:rPr>
        <w:t>i</w:t>
      </w:r>
      <w:r>
        <w:rPr>
          <w:rFonts w:ascii="Titillium" w:hAnsi="Titillium" w:cs="Calibri"/>
          <w:bCs/>
          <w:iCs/>
          <w:sz w:val="18"/>
          <w:szCs w:val="18"/>
        </w:rPr>
        <w:t xml:space="preserve"> data e ora di arrivo dell’offerta fa fede l’orario registrato dalla Piattaforma.</w:t>
      </w:r>
    </w:p>
    <w:p w14:paraId="55A6F8CE" w14:textId="77777777" w:rsidR="00276DF7" w:rsidRDefault="00276DF7" w:rsidP="00276DF7">
      <w:pPr>
        <w:widowControl w:val="0"/>
        <w:shd w:val="clear" w:color="auto" w:fill="F2F2F2" w:themeFill="background1" w:themeFillShade="F2"/>
        <w:spacing w:before="60" w:after="60" w:line="280" w:lineRule="exact"/>
      </w:pPr>
      <w:r>
        <w:rPr>
          <w:rFonts w:ascii="Titillium" w:hAnsi="Titillium" w:cs="Calibri"/>
          <w:color w:val="000000"/>
          <w:sz w:val="18"/>
          <w:szCs w:val="18"/>
        </w:rPr>
        <w:t>Le operazioni di inserimento sulla Piattaforma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w:t>
      </w:r>
      <w:r>
        <w:rPr>
          <w:rFonts w:ascii="Titillium" w:hAnsi="Titillium" w:cs="Calibri"/>
          <w:bCs/>
          <w:iCs/>
          <w:sz w:val="18"/>
          <w:szCs w:val="18"/>
        </w:rPr>
        <w:t xml:space="preserve"> </w:t>
      </w:r>
    </w:p>
    <w:p w14:paraId="01A3DEC4" w14:textId="71B876C5" w:rsidR="00276DF7" w:rsidRDefault="00276DF7" w:rsidP="00276DF7">
      <w:pPr>
        <w:widowControl w:val="0"/>
        <w:shd w:val="clear" w:color="auto" w:fill="F2F2F2" w:themeFill="background1" w:themeFillShade="F2"/>
        <w:spacing w:before="60" w:after="60" w:line="280" w:lineRule="exact"/>
      </w:pPr>
      <w:r>
        <w:rPr>
          <w:rFonts w:ascii="Titillium" w:hAnsi="Titillium" w:cs="Calibri"/>
          <w:bCs/>
          <w:iCs/>
          <w:sz w:val="18"/>
          <w:szCs w:val="18"/>
        </w:rPr>
        <w:t xml:space="preserve">Qualora si verifichi un mancato funzionamento o un malfunzionamento della Piattaforma si applica quanto previsto al punto </w:t>
      </w:r>
      <w:r>
        <w:rPr>
          <w:rFonts w:ascii="Titillium" w:hAnsi="Titillium" w:cs="Calibri"/>
          <w:bCs/>
          <w:iCs/>
          <w:sz w:val="18"/>
          <w:szCs w:val="18"/>
        </w:rPr>
        <w:fldChar w:fldCharType="begin"/>
      </w:r>
      <w:r>
        <w:rPr>
          <w:rFonts w:ascii="Titillium" w:hAnsi="Titillium" w:cs="Calibri"/>
          <w:bCs/>
          <w:iCs/>
          <w:sz w:val="18"/>
          <w:szCs w:val="18"/>
        </w:rPr>
        <w:instrText xml:space="preserve"> REF _Ref132303729 \r \h </w:instrText>
      </w:r>
      <w:r>
        <w:rPr>
          <w:rFonts w:ascii="Titillium" w:hAnsi="Titillium" w:cs="Calibri"/>
          <w:bCs/>
          <w:iCs/>
          <w:sz w:val="18"/>
          <w:szCs w:val="18"/>
        </w:rPr>
      </w:r>
      <w:r>
        <w:rPr>
          <w:rFonts w:ascii="Titillium" w:hAnsi="Titillium" w:cs="Calibri"/>
          <w:bCs/>
          <w:iCs/>
          <w:sz w:val="18"/>
          <w:szCs w:val="18"/>
        </w:rPr>
        <w:instrText xml:space="preserve"> \* MERGEFORMAT </w:instrText>
      </w:r>
      <w:r>
        <w:rPr>
          <w:rFonts w:ascii="Titillium" w:hAnsi="Titillium" w:cs="Calibri"/>
          <w:bCs/>
          <w:iCs/>
          <w:sz w:val="18"/>
          <w:szCs w:val="18"/>
        </w:rPr>
        <w:fldChar w:fldCharType="separate"/>
      </w:r>
      <w:r>
        <w:rPr>
          <w:rFonts w:ascii="Titillium" w:hAnsi="Titillium" w:cs="Calibri"/>
          <w:bCs/>
          <w:iCs/>
          <w:sz w:val="18"/>
          <w:szCs w:val="18"/>
        </w:rPr>
        <w:t>1.1</w:t>
      </w:r>
      <w:r>
        <w:rPr>
          <w:rFonts w:ascii="Titillium" w:hAnsi="Titillium" w:cs="Calibri"/>
          <w:bCs/>
          <w:iCs/>
          <w:sz w:val="18"/>
          <w:szCs w:val="18"/>
        </w:rPr>
        <w:fldChar w:fldCharType="end"/>
      </w:r>
      <w:r>
        <w:rPr>
          <w:rFonts w:ascii="Titillium" w:hAnsi="Titillium" w:cs="Calibri"/>
          <w:bCs/>
          <w:iCs/>
          <w:sz w:val="18"/>
          <w:szCs w:val="18"/>
        </w:rPr>
        <w:t>.</w:t>
      </w:r>
    </w:p>
    <w:p w14:paraId="06A5B636" w14:textId="77777777" w:rsidR="00276DF7" w:rsidRPr="006B0128" w:rsidRDefault="00276DF7" w:rsidP="00276DF7">
      <w:pPr>
        <w:shd w:val="clear" w:color="auto" w:fill="F2F2F2" w:themeFill="background1" w:themeFillShade="F2"/>
        <w:tabs>
          <w:tab w:val="left" w:pos="360"/>
        </w:tabs>
        <w:spacing w:before="60" w:after="60"/>
        <w:rPr>
          <w:i/>
        </w:rPr>
      </w:pPr>
      <w:r>
        <w:rPr>
          <w:rFonts w:ascii="Titillium" w:hAnsi="Titillium" w:cs="Calibri"/>
          <w:bCs/>
          <w:iCs/>
          <w:sz w:val="18"/>
          <w:szCs w:val="18"/>
        </w:rPr>
        <w:t xml:space="preserve">Ogni operatore economico per la presentazione dell’offerta ha a disposizione una capacità pari alla dimensione massima di </w:t>
      </w:r>
      <w:r w:rsidRPr="006B0128">
        <w:rPr>
          <w:rFonts w:ascii="Titillium" w:hAnsi="Titillium" w:cs="Calibri"/>
          <w:bCs/>
          <w:i/>
          <w:iCs/>
          <w:sz w:val="18"/>
          <w:szCs w:val="18"/>
        </w:rPr>
        <w:t>… [indicare il numero e l’unità di misura]</w:t>
      </w:r>
      <w:r>
        <w:rPr>
          <w:rFonts w:ascii="Titillium" w:hAnsi="Titillium" w:cs="Calibri"/>
          <w:bCs/>
          <w:iCs/>
          <w:sz w:val="18"/>
          <w:szCs w:val="18"/>
        </w:rPr>
        <w:t xml:space="preserve"> per singolo file. La Piattaforma accetta esclusivamente file con i seguenti formati </w:t>
      </w:r>
      <w:r w:rsidRPr="006B0128">
        <w:rPr>
          <w:rFonts w:ascii="Titillium" w:hAnsi="Titillium" w:cs="Calibri"/>
          <w:bCs/>
          <w:i/>
          <w:iCs/>
          <w:sz w:val="18"/>
          <w:szCs w:val="18"/>
        </w:rPr>
        <w:t>… [indicare i formati dei file che possono essere caricati nella Piattaforma]</w:t>
      </w:r>
    </w:p>
    <w:p w14:paraId="1E4BE127" w14:textId="77777777" w:rsidR="00276DF7" w:rsidRDefault="00276DF7" w:rsidP="00276DF7">
      <w:pPr>
        <w:shd w:val="clear" w:color="auto" w:fill="F2F2F2" w:themeFill="background1" w:themeFillShade="F2"/>
        <w:spacing w:before="60" w:after="60"/>
        <w:rPr>
          <w:rFonts w:ascii="Titillium" w:hAnsi="Titillium" w:cs="Calibri"/>
          <w:b/>
          <w:sz w:val="18"/>
          <w:szCs w:val="18"/>
        </w:rPr>
      </w:pPr>
      <w:r>
        <w:rPr>
          <w:rFonts w:ascii="Titillium" w:hAnsi="Titillium" w:cs="Calibri"/>
          <w:b/>
          <w:sz w:val="18"/>
          <w:szCs w:val="18"/>
        </w:rPr>
        <w:t>12.1 Regole per la presentazione dell’offerta</w:t>
      </w:r>
    </w:p>
    <w:p w14:paraId="60096898" w14:textId="4CB14A71" w:rsidR="00276DF7" w:rsidRPr="0097523D" w:rsidRDefault="00276DF7" w:rsidP="00276DF7">
      <w:pPr>
        <w:shd w:val="clear" w:color="auto" w:fill="F2F2F2" w:themeFill="background1" w:themeFillShade="F2"/>
        <w:spacing w:before="60" w:after="60"/>
      </w:pPr>
      <w:r w:rsidRPr="006B0128">
        <w:rPr>
          <w:rFonts w:ascii="Titillium" w:hAnsi="Titillium" w:cs="Calibri"/>
          <w:b/>
          <w:i/>
          <w:sz w:val="18"/>
          <w:szCs w:val="18"/>
        </w:rPr>
        <w:t>[</w:t>
      </w:r>
      <w:r>
        <w:rPr>
          <w:rFonts w:ascii="Titillium" w:hAnsi="Titillium" w:cs="Calibri"/>
          <w:b/>
          <w:bCs/>
          <w:i/>
          <w:sz w:val="18"/>
          <w:szCs w:val="18"/>
        </w:rPr>
        <w:t>Facoltativo</w:t>
      </w:r>
      <w:r w:rsidRPr="006B0128">
        <w:rPr>
          <w:rFonts w:ascii="Titillium" w:hAnsi="Titillium" w:cs="Calibri"/>
          <w:b/>
          <w:i/>
          <w:sz w:val="18"/>
          <w:szCs w:val="18"/>
        </w:rPr>
        <w:t>]</w:t>
      </w:r>
      <w:r>
        <w:rPr>
          <w:rFonts w:ascii="Titillium" w:hAnsi="Titillium" w:cs="Calibri"/>
          <w:sz w:val="18"/>
          <w:szCs w:val="18"/>
        </w:rPr>
        <w:t xml:space="preserve"> Fermo restando le indicazioni tecniche riportate all’articolo </w:t>
      </w:r>
      <w:r>
        <w:rPr>
          <w:rFonts w:ascii="Titillium" w:hAnsi="Titillium" w:cs="Calibri"/>
          <w:sz w:val="18"/>
          <w:szCs w:val="18"/>
        </w:rPr>
        <w:fldChar w:fldCharType="begin"/>
      </w:r>
      <w:r>
        <w:rPr>
          <w:rFonts w:ascii="Titillium" w:hAnsi="Titillium" w:cs="Calibri"/>
          <w:sz w:val="18"/>
          <w:szCs w:val="18"/>
        </w:rPr>
        <w:instrText xml:space="preserve"> REF _Ref132303744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1</w:t>
      </w:r>
      <w:r>
        <w:rPr>
          <w:rFonts w:ascii="Titillium" w:hAnsi="Titillium" w:cs="Calibri"/>
          <w:sz w:val="18"/>
          <w:szCs w:val="18"/>
        </w:rPr>
        <w:fldChar w:fldCharType="end"/>
      </w:r>
      <w:r>
        <w:rPr>
          <w:rFonts w:ascii="Titillium" w:hAnsi="Titillium" w:cs="Calibri"/>
          <w:sz w:val="18"/>
          <w:szCs w:val="18"/>
        </w:rPr>
        <w:t xml:space="preserve"> e nel … [</w:t>
      </w:r>
      <w:r w:rsidRPr="0097523D">
        <w:rPr>
          <w:rFonts w:ascii="Titillium" w:hAnsi="Titillium" w:cs="Calibri"/>
          <w:i/>
          <w:sz w:val="18"/>
          <w:szCs w:val="18"/>
        </w:rPr>
        <w:t xml:space="preserve">la SA indica il disciplinare telematico o altro documento tecnico] </w:t>
      </w:r>
      <w:r w:rsidRPr="0097523D">
        <w:rPr>
          <w:rFonts w:ascii="Titillium" w:hAnsi="Titillium" w:cs="Calibri"/>
          <w:sz w:val="18"/>
          <w:szCs w:val="18"/>
        </w:rPr>
        <w:t>di seguito sono indicate le modalità di caricamento dell’offerta nella Piattaforma.</w:t>
      </w:r>
    </w:p>
    <w:p w14:paraId="63FE7E73" w14:textId="77777777" w:rsidR="00276DF7" w:rsidRDefault="00276DF7" w:rsidP="00276DF7">
      <w:pPr>
        <w:shd w:val="clear" w:color="auto" w:fill="F2F2F2" w:themeFill="background1" w:themeFillShade="F2"/>
        <w:spacing w:before="60" w:after="60"/>
      </w:pPr>
      <w:r w:rsidRPr="0097523D">
        <w:rPr>
          <w:rFonts w:ascii="Titillium" w:hAnsi="Titillium" w:cs="Calibri"/>
          <w:i/>
          <w:sz w:val="18"/>
          <w:szCs w:val="18"/>
        </w:rPr>
        <w:t xml:space="preserve">[La </w:t>
      </w:r>
      <w:r>
        <w:rPr>
          <w:rFonts w:ascii="Titillium" w:hAnsi="Titillium" w:cs="Calibri"/>
          <w:i/>
          <w:sz w:val="18"/>
          <w:szCs w:val="18"/>
        </w:rPr>
        <w:t>stazione appaltante</w:t>
      </w:r>
      <w:r w:rsidRPr="0097523D">
        <w:rPr>
          <w:rFonts w:ascii="Titillium" w:hAnsi="Titillium" w:cs="Calibri"/>
          <w:i/>
          <w:sz w:val="18"/>
          <w:szCs w:val="18"/>
        </w:rPr>
        <w:t xml:space="preserve"> indica le regole di utilizzo della Piattaforma che non sono indicate nel disciplinare telematico di</w:t>
      </w:r>
      <w:r>
        <w:rPr>
          <w:rFonts w:ascii="Titillium" w:hAnsi="Titillium" w:cs="Calibri"/>
          <w:i/>
          <w:sz w:val="18"/>
          <w:szCs w:val="18"/>
        </w:rPr>
        <w:t xml:space="preserve"> cui di seguito si fornisce un esempio:</w:t>
      </w:r>
      <w:r>
        <w:rPr>
          <w:rFonts w:ascii="Titillium" w:hAnsi="Titillium" w:cs="Calibri"/>
          <w:sz w:val="18"/>
          <w:szCs w:val="18"/>
        </w:rPr>
        <w:t xml:space="preserve"> …</w:t>
      </w:r>
      <w:r>
        <w:rPr>
          <w:rFonts w:ascii="Titillium" w:hAnsi="Titillium" w:cs="Calibri"/>
          <w:i/>
          <w:sz w:val="18"/>
          <w:szCs w:val="18"/>
        </w:rPr>
        <w:t>]</w:t>
      </w:r>
    </w:p>
    <w:p w14:paraId="3545E13D" w14:textId="77777777" w:rsidR="00276DF7" w:rsidRDefault="00276DF7" w:rsidP="00276DF7">
      <w:pPr>
        <w:pStyle w:val="usoboll1"/>
        <w:shd w:val="clear" w:color="auto" w:fill="F2F2F2" w:themeFill="background1" w:themeFillShade="F2"/>
        <w:spacing w:line="300" w:lineRule="exact"/>
      </w:pPr>
      <w:r>
        <w:rPr>
          <w:rFonts w:ascii="Titillium" w:hAnsi="Titillium" w:cs="Trebuchet MS"/>
          <w:sz w:val="18"/>
          <w:szCs w:val="18"/>
        </w:rPr>
        <w:t>L’“</w:t>
      </w:r>
      <w:r>
        <w:rPr>
          <w:rFonts w:ascii="Titillium" w:hAnsi="Titillium" w:cs="Trebuchet MS"/>
          <w:b/>
          <w:i/>
          <w:sz w:val="18"/>
          <w:szCs w:val="18"/>
        </w:rPr>
        <w:t>OFFERTA</w:t>
      </w:r>
      <w:r>
        <w:rPr>
          <w:rFonts w:ascii="Titillium" w:hAnsi="Titillium" w:cs="Trebuchet MS"/>
          <w:sz w:val="18"/>
          <w:szCs w:val="18"/>
        </w:rPr>
        <w:t xml:space="preserve">” è composta da: </w:t>
      </w:r>
    </w:p>
    <w:p w14:paraId="54DEA45F" w14:textId="77777777" w:rsidR="00276DF7" w:rsidRDefault="00276DF7" w:rsidP="00276DF7">
      <w:pPr>
        <w:pStyle w:val="usoboll1"/>
        <w:shd w:val="clear" w:color="auto" w:fill="F2F2F2" w:themeFill="background1" w:themeFillShade="F2"/>
        <w:spacing w:line="300" w:lineRule="exact"/>
        <w:ind w:left="567"/>
      </w:pPr>
      <w:r>
        <w:rPr>
          <w:rFonts w:ascii="Titillium" w:hAnsi="Titillium" w:cs="Trebuchet MS"/>
          <w:sz w:val="18"/>
          <w:szCs w:val="18"/>
        </w:rPr>
        <w:t xml:space="preserve">A – </w:t>
      </w:r>
      <w:r>
        <w:rPr>
          <w:rFonts w:ascii="Titillium" w:hAnsi="Titillium" w:cs="Trebuchet MS"/>
          <w:b/>
          <w:sz w:val="18"/>
          <w:szCs w:val="18"/>
        </w:rPr>
        <w:t>Documentazione amministrativa</w:t>
      </w:r>
      <w:r>
        <w:rPr>
          <w:rFonts w:ascii="Titillium" w:hAnsi="Titillium" w:cs="Trebuchet MS"/>
          <w:sz w:val="18"/>
          <w:szCs w:val="18"/>
        </w:rPr>
        <w:t xml:space="preserve">; </w:t>
      </w:r>
    </w:p>
    <w:p w14:paraId="7C54A7BA" w14:textId="77777777" w:rsidR="00276DF7" w:rsidRDefault="00276DF7" w:rsidP="00276DF7">
      <w:pPr>
        <w:pStyle w:val="usoboll1"/>
        <w:shd w:val="clear" w:color="auto" w:fill="F2F2F2" w:themeFill="background1" w:themeFillShade="F2"/>
        <w:spacing w:line="300" w:lineRule="exact"/>
        <w:ind w:left="567"/>
      </w:pPr>
      <w:r>
        <w:rPr>
          <w:rFonts w:ascii="Titillium" w:hAnsi="Titillium" w:cs="Trebuchet MS"/>
          <w:sz w:val="18"/>
          <w:szCs w:val="18"/>
        </w:rPr>
        <w:t xml:space="preserve">B – </w:t>
      </w:r>
      <w:r>
        <w:rPr>
          <w:rFonts w:ascii="Titillium" w:hAnsi="Titillium" w:cs="Trebuchet MS"/>
          <w:b/>
          <w:bCs/>
          <w:sz w:val="18"/>
          <w:szCs w:val="18"/>
        </w:rPr>
        <w:t xml:space="preserve">Offerta tecnica </w:t>
      </w:r>
      <w:r>
        <w:rPr>
          <w:rFonts w:ascii="Titillium" w:hAnsi="Titillium" w:cs="Calibri"/>
          <w:bCs/>
          <w:i/>
          <w:sz w:val="18"/>
          <w:szCs w:val="18"/>
        </w:rPr>
        <w:t>[</w:t>
      </w:r>
      <w:r>
        <w:rPr>
          <w:rFonts w:ascii="Titillium" w:hAnsi="Titillium" w:cs="Trebuchet MS"/>
          <w:i/>
          <w:color w:val="000000"/>
          <w:sz w:val="18"/>
          <w:szCs w:val="18"/>
        </w:rPr>
        <w:t>in caso di divisione in Lotti: una per ogni Lotto per il quale si intende partecipare</w:t>
      </w:r>
      <w:r>
        <w:rPr>
          <w:rFonts w:ascii="Titillium" w:hAnsi="Titillium" w:cs="Calibri"/>
          <w:i/>
          <w:color w:val="000000"/>
          <w:sz w:val="18"/>
          <w:szCs w:val="18"/>
        </w:rPr>
        <w:t>]</w:t>
      </w:r>
      <w:r>
        <w:rPr>
          <w:rFonts w:ascii="Titillium" w:hAnsi="Titillium" w:cs="Trebuchet MS"/>
          <w:color w:val="000000"/>
          <w:sz w:val="18"/>
          <w:szCs w:val="18"/>
        </w:rPr>
        <w:t xml:space="preserve">; </w:t>
      </w:r>
    </w:p>
    <w:p w14:paraId="56B374E4" w14:textId="77777777" w:rsidR="00276DF7" w:rsidRDefault="00276DF7" w:rsidP="00276DF7">
      <w:pPr>
        <w:pStyle w:val="usoboll1"/>
        <w:shd w:val="clear" w:color="auto" w:fill="F2F2F2" w:themeFill="background1" w:themeFillShade="F2"/>
        <w:spacing w:line="300" w:lineRule="exact"/>
        <w:ind w:left="567"/>
      </w:pPr>
      <w:r>
        <w:rPr>
          <w:rFonts w:ascii="Titillium" w:hAnsi="Titillium" w:cs="Trebuchet MS"/>
          <w:color w:val="000000"/>
          <w:sz w:val="18"/>
          <w:szCs w:val="18"/>
        </w:rPr>
        <w:t xml:space="preserve">C – </w:t>
      </w:r>
      <w:r>
        <w:rPr>
          <w:rFonts w:ascii="Titillium" w:hAnsi="Titillium" w:cs="Trebuchet MS"/>
          <w:b/>
          <w:bCs/>
          <w:color w:val="000000"/>
          <w:sz w:val="18"/>
          <w:szCs w:val="18"/>
        </w:rPr>
        <w:t>Offerta economica</w:t>
      </w:r>
      <w:r>
        <w:rPr>
          <w:rFonts w:ascii="Titillium" w:hAnsi="Titillium" w:cs="Trebuchet MS"/>
          <w:i/>
          <w:color w:val="000000"/>
          <w:sz w:val="18"/>
          <w:szCs w:val="18"/>
        </w:rPr>
        <w:t xml:space="preserve"> </w:t>
      </w:r>
      <w:r>
        <w:rPr>
          <w:rFonts w:ascii="Titillium" w:hAnsi="Titillium" w:cs="Calibri"/>
          <w:i/>
          <w:color w:val="000000"/>
          <w:sz w:val="18"/>
          <w:szCs w:val="18"/>
        </w:rPr>
        <w:t>[</w:t>
      </w:r>
      <w:r>
        <w:rPr>
          <w:rFonts w:ascii="Titillium" w:hAnsi="Titillium" w:cs="Trebuchet MS"/>
          <w:i/>
          <w:color w:val="000000"/>
          <w:sz w:val="18"/>
          <w:szCs w:val="18"/>
        </w:rPr>
        <w:t xml:space="preserve">in caso </w:t>
      </w:r>
      <w:r>
        <w:rPr>
          <w:rFonts w:ascii="Titillium" w:hAnsi="Titillium" w:cs="Trebuchet MS"/>
          <w:i/>
          <w:iCs/>
          <w:color w:val="000000"/>
          <w:sz w:val="18"/>
          <w:szCs w:val="18"/>
        </w:rPr>
        <w:t>di divisione in Lotti: una per ogni Lotto per il quale si intende partecipare</w:t>
      </w:r>
      <w:r>
        <w:rPr>
          <w:rFonts w:ascii="Titillium" w:hAnsi="Titillium" w:cs="Calibri"/>
          <w:i/>
          <w:color w:val="000000"/>
          <w:sz w:val="18"/>
          <w:szCs w:val="18"/>
        </w:rPr>
        <w:t>]</w:t>
      </w:r>
      <w:r>
        <w:rPr>
          <w:rFonts w:ascii="Titillium" w:hAnsi="Titillium" w:cs="Trebuchet MS"/>
          <w:color w:val="000000"/>
          <w:sz w:val="18"/>
          <w:szCs w:val="18"/>
        </w:rPr>
        <w:t xml:space="preserve">. </w:t>
      </w:r>
    </w:p>
    <w:p w14:paraId="3D984571" w14:textId="77777777" w:rsidR="00276DF7" w:rsidRDefault="00276DF7" w:rsidP="00276DF7">
      <w:pPr>
        <w:pStyle w:val="usoboll1"/>
        <w:shd w:val="clear" w:color="auto" w:fill="F2F2F2" w:themeFill="background1" w:themeFillShade="F2"/>
        <w:spacing w:line="300" w:lineRule="exact"/>
        <w:rPr>
          <w:rFonts w:ascii="Titillium" w:hAnsi="Titillium" w:cs="Trebuchet MS"/>
          <w:sz w:val="20"/>
        </w:rPr>
      </w:pPr>
    </w:p>
    <w:p w14:paraId="15ACC822"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0D756B">
        <w:rPr>
          <w:rFonts w:ascii="Titillium" w:hAnsi="Titillium" w:cs="Calibri"/>
          <w:sz w:val="18"/>
          <w:szCs w:val="18"/>
        </w:rPr>
        <w:t>L’operatore</w:t>
      </w:r>
      <w:r>
        <w:rPr>
          <w:rFonts w:ascii="Titillium" w:hAnsi="Titillium" w:cs="Calibri"/>
          <w:sz w:val="18"/>
          <w:szCs w:val="18"/>
        </w:rPr>
        <w:t xml:space="preserve"> economico ha facoltà di inserire nella Piattaforma offerte successive che sostituiscono la precedente, ovvero ritirare l’offerta presentata, nel </w:t>
      </w:r>
      <w:r w:rsidRPr="00FB3112">
        <w:rPr>
          <w:rFonts w:ascii="Titillium" w:hAnsi="Titillium" w:cs="Calibri"/>
          <w:sz w:val="18"/>
          <w:szCs w:val="18"/>
        </w:rPr>
        <w:t xml:space="preserve">periodo di tempo compreso tra la data e ora di inizio e la data e ora di chiusura della fase di presentazione delle offerte. </w:t>
      </w:r>
      <w:r w:rsidRPr="00FB3112">
        <w:rPr>
          <w:rFonts w:ascii="Titillium" w:hAnsi="Titillium" w:cs="Calibri"/>
          <w:bCs/>
          <w:color w:val="000000"/>
          <w:sz w:val="18"/>
          <w:szCs w:val="18"/>
        </w:rPr>
        <w:t>La stazione appaltante considera esclusivamente l’ultima offerta presentata.</w:t>
      </w:r>
      <w:r w:rsidRPr="00FB3112">
        <w:rPr>
          <w:rFonts w:ascii="Titillium" w:hAnsi="Titillium" w:cs="Calibri"/>
          <w:sz w:val="18"/>
          <w:szCs w:val="18"/>
        </w:rPr>
        <w:t xml:space="preserve"> </w:t>
      </w:r>
    </w:p>
    <w:p w14:paraId="20869027" w14:textId="77777777" w:rsidR="00276DF7" w:rsidRDefault="00276DF7" w:rsidP="00276DF7">
      <w:pPr>
        <w:pStyle w:val="Default"/>
        <w:shd w:val="clear" w:color="auto" w:fill="F2F2F2" w:themeFill="background1" w:themeFillShade="F2"/>
        <w:rPr>
          <w:rFonts w:ascii="Titillium" w:hAnsi="Titillium"/>
          <w:sz w:val="18"/>
          <w:szCs w:val="18"/>
        </w:rPr>
      </w:pPr>
      <w:r>
        <w:rPr>
          <w:rFonts w:ascii="Titillium" w:hAnsi="Titillium"/>
          <w:sz w:val="18"/>
          <w:szCs w:val="18"/>
        </w:rPr>
        <w:t xml:space="preserve">Si precisa inoltre che: </w:t>
      </w:r>
    </w:p>
    <w:p w14:paraId="6554ECCD" w14:textId="77777777" w:rsidR="00276DF7" w:rsidRDefault="00276DF7" w:rsidP="00276DF7">
      <w:pPr>
        <w:pStyle w:val="Default"/>
        <w:numPr>
          <w:ilvl w:val="0"/>
          <w:numId w:val="22"/>
        </w:numPr>
        <w:shd w:val="clear" w:color="auto" w:fill="F2F2F2" w:themeFill="background1" w:themeFillShade="F2"/>
        <w:spacing w:after="70" w:line="240" w:lineRule="auto"/>
        <w:ind w:left="709" w:hanging="357"/>
        <w:rPr>
          <w:rFonts w:ascii="Titillium" w:hAnsi="Titillium"/>
          <w:sz w:val="18"/>
          <w:szCs w:val="18"/>
        </w:rPr>
      </w:pPr>
      <w:r>
        <w:rPr>
          <w:rFonts w:ascii="Titillium" w:hAnsi="Titillium"/>
          <w:sz w:val="18"/>
          <w:szCs w:val="18"/>
        </w:rPr>
        <w:t>l’offerta è vincolante per il concorrente;</w:t>
      </w:r>
    </w:p>
    <w:p w14:paraId="060D5D00" w14:textId="77777777" w:rsidR="00276DF7" w:rsidRDefault="00276DF7" w:rsidP="00276DF7">
      <w:pPr>
        <w:pStyle w:val="Default"/>
        <w:numPr>
          <w:ilvl w:val="0"/>
          <w:numId w:val="22"/>
        </w:numPr>
        <w:shd w:val="clear" w:color="auto" w:fill="F2F2F2" w:themeFill="background1" w:themeFillShade="F2"/>
        <w:spacing w:line="240" w:lineRule="auto"/>
        <w:ind w:left="709" w:hanging="357"/>
        <w:rPr>
          <w:rFonts w:ascii="Titillium" w:hAnsi="Titillium" w:cs="Calibri"/>
          <w:sz w:val="18"/>
          <w:szCs w:val="18"/>
        </w:rPr>
      </w:pPr>
      <w:r>
        <w:rPr>
          <w:rFonts w:ascii="Titillium" w:hAnsi="Titillium" w:cs="Calibri"/>
          <w:sz w:val="18"/>
          <w:szCs w:val="18"/>
        </w:rPr>
        <w:t>con la trasmissione dell’offerta, il concorrente accetta tutta la documentazione di gara, allegati e chiarimenti inclusi.</w:t>
      </w:r>
    </w:p>
    <w:p w14:paraId="49B58B63"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Al momento della ricezione delle offerte, ciascun concorrente riceve notifica del corretto recepimento della documentazione inviata </w:t>
      </w:r>
      <w:r w:rsidRPr="00450DD4">
        <w:rPr>
          <w:rFonts w:ascii="Titillium" w:hAnsi="Titillium" w:cs="Calibri"/>
          <w:i/>
          <w:sz w:val="18"/>
          <w:szCs w:val="18"/>
        </w:rPr>
        <w:t>[eventuale, mediante … specificare in che modo]</w:t>
      </w:r>
      <w:r>
        <w:rPr>
          <w:rFonts w:ascii="Titillium" w:hAnsi="Titillium" w:cs="Calibri"/>
          <w:sz w:val="18"/>
          <w:szCs w:val="18"/>
        </w:rPr>
        <w:t xml:space="preserve">. </w:t>
      </w:r>
    </w:p>
    <w:p w14:paraId="54B12C41" w14:textId="77777777" w:rsidR="00276DF7" w:rsidRDefault="00276DF7" w:rsidP="00276DF7">
      <w:pPr>
        <w:pStyle w:val="Default"/>
        <w:shd w:val="clear" w:color="auto" w:fill="F2F2F2" w:themeFill="background1" w:themeFillShade="F2"/>
        <w:spacing w:before="60" w:after="60"/>
      </w:pPr>
      <w:r>
        <w:rPr>
          <w:rFonts w:ascii="Titillium" w:hAnsi="Titillium" w:cs="Calibri"/>
          <w:sz w:val="18"/>
          <w:szCs w:val="18"/>
        </w:rPr>
        <w:t xml:space="preserve">La Piattaforma consente al concorrente di visualizzare l’avvenuta trasmissione della domanda. </w:t>
      </w:r>
    </w:p>
    <w:p w14:paraId="2BFBAAE8" w14:textId="77777777" w:rsidR="00276DF7" w:rsidRDefault="00276DF7" w:rsidP="00276DF7">
      <w:pPr>
        <w:shd w:val="clear" w:color="auto" w:fill="F2F2F2" w:themeFill="background1" w:themeFillShade="F2"/>
        <w:spacing w:before="60" w:after="60"/>
      </w:pPr>
      <w:r>
        <w:rPr>
          <w:rFonts w:ascii="Titillium" w:hAnsi="Titillium"/>
          <w:sz w:val="18"/>
          <w:szCs w:val="18"/>
        </w:rPr>
        <w:t xml:space="preserve">Il concorrente che intenda </w:t>
      </w:r>
      <w:r w:rsidRPr="001C08AC">
        <w:rPr>
          <w:rFonts w:ascii="Titillium" w:hAnsi="Titillium"/>
          <w:sz w:val="18"/>
          <w:szCs w:val="18"/>
        </w:rPr>
        <w:t>partecipare in forma associata</w:t>
      </w:r>
      <w:r>
        <w:rPr>
          <w:rFonts w:ascii="Titillium" w:hAnsi="Titillium"/>
          <w:sz w:val="18"/>
          <w:szCs w:val="18"/>
        </w:rPr>
        <w:t xml:space="preserve"> (per esempio raggruppamento temporaneo di imprese/Consorzi, sia costituiti che costituendi) in sede di presentazione dell’offerta indica la forma di partecipazione e indica gli operatori economici riuniti o consorziati. </w:t>
      </w:r>
    </w:p>
    <w:p w14:paraId="70D85255" w14:textId="77777777" w:rsidR="00276DF7" w:rsidRDefault="00276DF7" w:rsidP="00276DF7">
      <w:pPr>
        <w:shd w:val="clear" w:color="auto" w:fill="F2F2F2" w:themeFill="background1" w:themeFillShade="F2"/>
        <w:spacing w:before="60" w:after="60"/>
      </w:pPr>
      <w:r>
        <w:rPr>
          <w:rFonts w:ascii="Titillium" w:hAnsi="Titillium"/>
          <w:b/>
          <w:i/>
          <w:sz w:val="18"/>
          <w:szCs w:val="18"/>
        </w:rPr>
        <w:t>[Facoltativo]</w:t>
      </w:r>
      <w:r>
        <w:rPr>
          <w:rFonts w:ascii="Titillium" w:hAnsi="Titillium"/>
          <w:sz w:val="18"/>
          <w:szCs w:val="18"/>
        </w:rPr>
        <w:t xml:space="preserve"> Le dichiarazioni </w:t>
      </w:r>
      <w:r>
        <w:rPr>
          <w:rFonts w:ascii="Titillium" w:hAnsi="Titillium"/>
          <w:i/>
          <w:sz w:val="18"/>
          <w:szCs w:val="18"/>
        </w:rPr>
        <w:t>... [specificare quali]</w:t>
      </w:r>
      <w:r>
        <w:rPr>
          <w:rFonts w:ascii="Titillium" w:hAnsi="Titillium"/>
          <w:sz w:val="18"/>
          <w:szCs w:val="18"/>
        </w:rPr>
        <w:t xml:space="preserve"> sono redatte sui modelli predisposti e messi a disposizione nella Piattaforma </w:t>
      </w:r>
      <w:r>
        <w:rPr>
          <w:rFonts w:ascii="Titillium" w:hAnsi="Titillium"/>
          <w:i/>
          <w:sz w:val="18"/>
          <w:szCs w:val="18"/>
        </w:rPr>
        <w:t xml:space="preserve">[eventualmente indicare il link dove </w:t>
      </w:r>
      <w:r>
        <w:rPr>
          <w:rFonts w:ascii="Titillium" w:hAnsi="Titillium"/>
          <w:i/>
          <w:sz w:val="18"/>
          <w:szCs w:val="18"/>
        </w:rPr>
        <w:lastRenderedPageBreak/>
        <w:t>si può prendere visione delle dichiarazioni. In alternativa: indicare “</w:t>
      </w:r>
      <w:r w:rsidRPr="0012169D">
        <w:rPr>
          <w:rFonts w:ascii="Titillium" w:hAnsi="Titillium"/>
          <w:sz w:val="18"/>
          <w:szCs w:val="18"/>
        </w:rPr>
        <w:t>sono compilate online</w:t>
      </w:r>
      <w:r>
        <w:rPr>
          <w:rFonts w:ascii="Titillium" w:hAnsi="Titillium"/>
          <w:sz w:val="18"/>
          <w:szCs w:val="18"/>
        </w:rPr>
        <w:t>”</w:t>
      </w:r>
      <w:r>
        <w:rPr>
          <w:rFonts w:ascii="Titillium" w:hAnsi="Titillium"/>
          <w:i/>
          <w:sz w:val="18"/>
          <w:szCs w:val="18"/>
        </w:rPr>
        <w:t>]</w:t>
      </w:r>
      <w:r>
        <w:rPr>
          <w:rFonts w:ascii="Titillium" w:hAnsi="Titillium"/>
          <w:sz w:val="18"/>
          <w:szCs w:val="18"/>
        </w:rPr>
        <w:t xml:space="preserve">. </w:t>
      </w:r>
    </w:p>
    <w:p w14:paraId="35DB6EBB" w14:textId="77777777" w:rsidR="00276DF7" w:rsidRDefault="00276DF7" w:rsidP="00276DF7">
      <w:pPr>
        <w:shd w:val="clear" w:color="auto" w:fill="F2F2F2" w:themeFill="background1" w:themeFillShade="F2"/>
        <w:spacing w:before="60" w:after="60"/>
        <w:rPr>
          <w:rFonts w:ascii="Titillium" w:hAnsi="Titillium"/>
          <w:sz w:val="18"/>
          <w:szCs w:val="18"/>
        </w:rPr>
      </w:pPr>
      <w:r w:rsidRPr="00450DD4">
        <w:rPr>
          <w:rFonts w:ascii="Titillium" w:hAnsi="Titillium"/>
          <w:sz w:val="18"/>
          <w:szCs w:val="18"/>
        </w:rPr>
        <w:t>Tutta la documentazione da produrre deve essere in lingua italiana</w:t>
      </w:r>
      <w:r>
        <w:rPr>
          <w:rFonts w:ascii="Titillium" w:hAnsi="Titillium"/>
          <w:sz w:val="18"/>
          <w:szCs w:val="18"/>
        </w:rPr>
        <w:t xml:space="preserve">. </w:t>
      </w:r>
      <w:r w:rsidRPr="00331E4A">
        <w:rPr>
          <w:rFonts w:ascii="Titillium" w:hAnsi="Titillium"/>
          <w:b/>
          <w:i/>
          <w:sz w:val="18"/>
          <w:szCs w:val="18"/>
        </w:rPr>
        <w:t>[</w:t>
      </w:r>
      <w:r>
        <w:rPr>
          <w:rFonts w:ascii="Titillium" w:hAnsi="Titillium"/>
          <w:b/>
          <w:bCs/>
          <w:i/>
          <w:sz w:val="18"/>
          <w:szCs w:val="18"/>
        </w:rPr>
        <w:t>I</w:t>
      </w:r>
      <w:r w:rsidRPr="00472411">
        <w:rPr>
          <w:rFonts w:ascii="Titillium" w:hAnsi="Titillium"/>
          <w:b/>
          <w:bCs/>
          <w:i/>
          <w:sz w:val="18"/>
          <w:szCs w:val="18"/>
        </w:rPr>
        <w:t xml:space="preserve">n </w:t>
      </w:r>
      <w:r w:rsidRPr="00331E4A">
        <w:rPr>
          <w:rFonts w:ascii="Titillium" w:hAnsi="Titillium"/>
          <w:b/>
          <w:bCs/>
          <w:i/>
          <w:sz w:val="18"/>
          <w:szCs w:val="18"/>
        </w:rPr>
        <w:t>alternativa</w:t>
      </w:r>
      <w:r w:rsidRPr="00331E4A">
        <w:rPr>
          <w:rFonts w:ascii="Titillium" w:hAnsi="Titillium"/>
          <w:i/>
          <w:sz w:val="18"/>
          <w:szCs w:val="18"/>
        </w:rPr>
        <w:t xml:space="preserve"> in caso di bilinguismo</w:t>
      </w:r>
      <w:r w:rsidRPr="00472411">
        <w:rPr>
          <w:rFonts w:ascii="Titillium" w:hAnsi="Titillium"/>
          <w:b/>
          <w:i/>
          <w:sz w:val="18"/>
          <w:szCs w:val="18"/>
        </w:rPr>
        <w:t>]</w:t>
      </w:r>
      <w:r>
        <w:rPr>
          <w:rFonts w:ascii="Titillium" w:hAnsi="Titillium"/>
          <w:sz w:val="18"/>
          <w:szCs w:val="18"/>
        </w:rPr>
        <w:t xml:space="preserve"> Tutta la documentazione da produrre deve essere in lingua italiana [</w:t>
      </w:r>
      <w:r w:rsidRPr="00065688">
        <w:rPr>
          <w:rFonts w:ascii="Titillium" w:hAnsi="Titillium"/>
          <w:i/>
          <w:sz w:val="18"/>
          <w:szCs w:val="18"/>
        </w:rPr>
        <w:t>e, o</w:t>
      </w:r>
      <w:r>
        <w:rPr>
          <w:rFonts w:ascii="Titillium" w:hAnsi="Titillium"/>
          <w:i/>
          <w:sz w:val="18"/>
          <w:szCs w:val="18"/>
        </w:rPr>
        <w:t xml:space="preserve"> specificare</w:t>
      </w:r>
      <w:r>
        <w:rPr>
          <w:rFonts w:ascii="Titillium" w:hAnsi="Titillium"/>
          <w:sz w:val="18"/>
          <w:szCs w:val="18"/>
        </w:rPr>
        <w:t xml:space="preserve">] </w:t>
      </w:r>
      <w:r w:rsidRPr="00472411">
        <w:rPr>
          <w:rFonts w:ascii="Titillium" w:hAnsi="Titillium"/>
          <w:i/>
          <w:sz w:val="18"/>
          <w:szCs w:val="18"/>
        </w:rPr>
        <w:t>… [indicare l’altra lingua].</w:t>
      </w:r>
      <w:r>
        <w:rPr>
          <w:rFonts w:ascii="Titillium" w:hAnsi="Titillium"/>
          <w:sz w:val="18"/>
          <w:szCs w:val="18"/>
        </w:rPr>
        <w:t xml:space="preserve"> </w:t>
      </w:r>
    </w:p>
    <w:p w14:paraId="3E33CC7B" w14:textId="77777777" w:rsidR="00276DF7" w:rsidRDefault="00276DF7" w:rsidP="00276DF7">
      <w:pPr>
        <w:shd w:val="clear" w:color="auto" w:fill="F2F2F2" w:themeFill="background1" w:themeFillShade="F2"/>
        <w:spacing w:before="60" w:after="60"/>
      </w:pPr>
      <w:r w:rsidRPr="001B5A3D">
        <w:rPr>
          <w:rFonts w:ascii="Titillium" w:hAnsi="Titillium"/>
          <w:b/>
          <w:i/>
          <w:sz w:val="18"/>
          <w:szCs w:val="18"/>
        </w:rPr>
        <w:t>[</w:t>
      </w:r>
      <w:r>
        <w:rPr>
          <w:rFonts w:ascii="Titillium" w:hAnsi="Titillium"/>
          <w:b/>
          <w:bCs/>
          <w:i/>
          <w:sz w:val="18"/>
          <w:szCs w:val="18"/>
        </w:rPr>
        <w:t>In alternativa</w:t>
      </w:r>
      <w:r w:rsidRPr="001B5A3D">
        <w:rPr>
          <w:rFonts w:ascii="Titillium" w:hAnsi="Titillium"/>
          <w:b/>
          <w:i/>
          <w:sz w:val="18"/>
          <w:szCs w:val="18"/>
        </w:rPr>
        <w:t>]</w:t>
      </w:r>
      <w:r w:rsidRPr="001B5A3D">
        <w:rPr>
          <w:rFonts w:ascii="Titillium" w:hAnsi="Titillium"/>
          <w:sz w:val="18"/>
          <w:szCs w:val="18"/>
        </w:rPr>
        <w:t xml:space="preserve"> </w:t>
      </w:r>
      <w:r>
        <w:rPr>
          <w:rFonts w:ascii="Titillium" w:hAnsi="Titillium"/>
          <w:sz w:val="18"/>
          <w:szCs w:val="18"/>
        </w:rPr>
        <w:t xml:space="preserve">La documentazione </w:t>
      </w:r>
      <w:r w:rsidRPr="00450DD4">
        <w:rPr>
          <w:rFonts w:ascii="Titillium" w:hAnsi="Titillium"/>
          <w:sz w:val="18"/>
          <w:szCs w:val="18"/>
        </w:rPr>
        <w:t>da produrre</w:t>
      </w:r>
      <w:r>
        <w:rPr>
          <w:rFonts w:ascii="Titillium" w:hAnsi="Titillium"/>
          <w:sz w:val="18"/>
          <w:szCs w:val="18"/>
        </w:rPr>
        <w:t>, se redatta in inglese, francese, spagnolo [</w:t>
      </w:r>
      <w:r>
        <w:rPr>
          <w:rFonts w:ascii="Titillium" w:hAnsi="Titillium"/>
          <w:i/>
          <w:iCs/>
          <w:sz w:val="18"/>
          <w:szCs w:val="18"/>
        </w:rPr>
        <w:t>specificare eventuali altre lingue conosciute dalla stazione appaltante]</w:t>
      </w:r>
      <w:r>
        <w:rPr>
          <w:rFonts w:ascii="Titillium" w:hAnsi="Titillium"/>
          <w:sz w:val="18"/>
          <w:szCs w:val="18"/>
        </w:rPr>
        <w:t xml:space="preserve"> può essere presentata senza bisogno di traduzione. In tutti gli altri casi i documenti devono essere corredati da traduzione giurata in lingua italiana.</w:t>
      </w:r>
      <w:r>
        <w:t xml:space="preserve"> </w:t>
      </w:r>
    </w:p>
    <w:p w14:paraId="64386EA3" w14:textId="77777777" w:rsidR="00276DF7" w:rsidRPr="00450DD4" w:rsidRDefault="00276DF7" w:rsidP="00276DF7">
      <w:pPr>
        <w:shd w:val="clear" w:color="auto" w:fill="F2F2F2" w:themeFill="background1" w:themeFillShade="F2"/>
        <w:spacing w:before="60" w:after="60"/>
      </w:pPr>
      <w:r>
        <w:rPr>
          <w:rFonts w:ascii="Titillium" w:hAnsi="Titillium"/>
          <w:sz w:val="18"/>
          <w:szCs w:val="18"/>
        </w:rPr>
        <w:t>In caso di mancanza, incompletezza o irregolarità della traduzione della documentazione amministrativa, si applica il soccorso istruttorio</w:t>
      </w:r>
      <w:r w:rsidRPr="00614DC3">
        <w:rPr>
          <w:rFonts w:ascii="Titillium" w:hAnsi="Titillium"/>
          <w:sz w:val="18"/>
          <w:szCs w:val="18"/>
        </w:rPr>
        <w:t>.</w:t>
      </w:r>
    </w:p>
    <w:p w14:paraId="63F948E4" w14:textId="77777777" w:rsidR="00276DF7" w:rsidRDefault="00276DF7" w:rsidP="00276DF7">
      <w:pPr>
        <w:shd w:val="clear" w:color="auto" w:fill="F2F2F2" w:themeFill="background1" w:themeFillShade="F2"/>
        <w:spacing w:before="60" w:after="60"/>
      </w:pPr>
      <w:r>
        <w:rPr>
          <w:rFonts w:ascii="Titillium" w:hAnsi="Titillium" w:cs="Calibri"/>
          <w:sz w:val="18"/>
          <w:szCs w:val="18"/>
        </w:rPr>
        <w:t>L’offerta vincola il concorrente per</w:t>
      </w:r>
      <w:r>
        <w:rPr>
          <w:rFonts w:ascii="Titillium" w:hAnsi="Titillium" w:cs="Calibri"/>
          <w:i/>
          <w:sz w:val="18"/>
          <w:szCs w:val="18"/>
        </w:rPr>
        <w:t xml:space="preserve"> … [indicare il numero dei giorni pari ad almeno 180 giorni] </w:t>
      </w:r>
      <w:r>
        <w:rPr>
          <w:rFonts w:ascii="Titillium" w:hAnsi="Titillium" w:cs="Calibri"/>
          <w:sz w:val="18"/>
          <w:szCs w:val="18"/>
        </w:rPr>
        <w:t>dalla scadenza</w:t>
      </w:r>
      <w:r>
        <w:rPr>
          <w:rFonts w:ascii="Titillium" w:hAnsi="Titillium" w:cs="Calibri"/>
          <w:i/>
          <w:sz w:val="18"/>
          <w:szCs w:val="18"/>
        </w:rPr>
        <w:t xml:space="preserve"> </w:t>
      </w:r>
      <w:r>
        <w:rPr>
          <w:rFonts w:ascii="Titillium" w:hAnsi="Titillium" w:cs="Calibri"/>
          <w:sz w:val="18"/>
          <w:szCs w:val="18"/>
        </w:rPr>
        <w:t xml:space="preserve">del termine indicato per la presentazione dell’offerta. </w:t>
      </w:r>
    </w:p>
    <w:p w14:paraId="6D6E3F52"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di gara fino alla medesima data. </w:t>
      </w:r>
    </w:p>
    <w:p w14:paraId="39802D97" w14:textId="77777777" w:rsidR="00276DF7" w:rsidRPr="003B49E3" w:rsidRDefault="00276DF7" w:rsidP="00276DF7">
      <w:pPr>
        <w:shd w:val="clear" w:color="auto" w:fill="F2F2F2" w:themeFill="background1" w:themeFillShade="F2"/>
        <w:spacing w:before="60" w:after="60"/>
        <w:rPr>
          <w:rFonts w:ascii="Titillium" w:hAnsi="Titillium" w:cs="Calibri"/>
          <w:sz w:val="18"/>
          <w:szCs w:val="18"/>
        </w:rPr>
      </w:pPr>
      <w:r w:rsidRPr="00EA3352">
        <w:rPr>
          <w:rFonts w:ascii="Titillium" w:hAnsi="Titillium" w:cs="Calibri"/>
          <w:sz w:val="18"/>
          <w:szCs w:val="18"/>
        </w:rPr>
        <w:t xml:space="preserve">Il mancato riscontro alla richiesta della stazione appaltante entro il termine fissato da quest’ultima o comunque in tempo </w:t>
      </w:r>
      <w:r w:rsidRPr="003B49E3">
        <w:rPr>
          <w:rFonts w:ascii="Titillium" w:hAnsi="Titillium" w:cs="Calibri"/>
          <w:sz w:val="18"/>
          <w:szCs w:val="18"/>
        </w:rPr>
        <w:t>utile alla celere prosecuzione della procedura è considerato come rinuncia del concorrente alla partecipazione alla gara.</w:t>
      </w:r>
    </w:p>
    <w:p w14:paraId="0561DCFD" w14:textId="77777777" w:rsidR="00276DF7" w:rsidRPr="003B49E3" w:rsidRDefault="00276DF7" w:rsidP="00276DF7">
      <w:pPr>
        <w:shd w:val="clear" w:color="auto" w:fill="F2F2F2" w:themeFill="background1" w:themeFillShade="F2"/>
        <w:spacing w:before="60" w:after="60"/>
        <w:rPr>
          <w:rFonts w:ascii="Titillium" w:hAnsi="Titillium" w:cs="Calibri"/>
          <w:sz w:val="18"/>
          <w:szCs w:val="18"/>
        </w:rPr>
      </w:pPr>
      <w:r w:rsidRPr="003B49E3">
        <w:rPr>
          <w:rFonts w:ascii="Titillium" w:hAnsi="Titillium" w:cs="Calibri"/>
          <w:sz w:val="18"/>
          <w:szCs w:val="18"/>
        </w:rPr>
        <w:t xml:space="preserve">Fino al giorno fissato per l’apertura, l’operatore economico può effettuare, tramite la Piattaforma, la richiesta di rettifica di un errore materiale contenuto nell’offerta tecnica o nell’offerta economica, di cui si sia avveduto dopo la scadenza del termine per la loro presentazione. A tal fine, richiede di potersi avvalere di tale facoltà.  </w:t>
      </w:r>
    </w:p>
    <w:p w14:paraId="1667954D" w14:textId="77777777" w:rsidR="00276DF7" w:rsidRPr="003B49E3" w:rsidRDefault="00276DF7" w:rsidP="00276DF7">
      <w:pPr>
        <w:shd w:val="clear" w:color="auto" w:fill="F2F2F2" w:themeFill="background1" w:themeFillShade="F2"/>
        <w:spacing w:before="60" w:after="60"/>
        <w:rPr>
          <w:rFonts w:ascii="Titillium" w:hAnsi="Titillium" w:cs="Calibri"/>
          <w:sz w:val="18"/>
          <w:szCs w:val="18"/>
        </w:rPr>
      </w:pPr>
      <w:r w:rsidRPr="003B49E3">
        <w:rPr>
          <w:rFonts w:ascii="Titillium" w:hAnsi="Titillium" w:cs="Calibri"/>
          <w:sz w:val="18"/>
          <w:szCs w:val="18"/>
        </w:rPr>
        <w:t>A seguito della richiesta, sono comunicate all’operatore economico le modalità e i tempi con cui procedere all’indicazione degli elementi che consentono l’individuazione dell’errore materiale e la sua correzione. La rettifica è operata nel rispetto della segretezza dell’offerta</w:t>
      </w:r>
      <w:r w:rsidRPr="003B49E3" w:rsidDel="001D23DD">
        <w:rPr>
          <w:rFonts w:ascii="Titillium" w:hAnsi="Titillium" w:cs="Calibri"/>
          <w:sz w:val="18"/>
          <w:szCs w:val="18"/>
        </w:rPr>
        <w:t xml:space="preserve"> </w:t>
      </w:r>
      <w:r w:rsidRPr="003B49E3">
        <w:rPr>
          <w:rFonts w:ascii="Titillium" w:hAnsi="Titillium" w:cs="Calibri"/>
          <w:sz w:val="18"/>
          <w:szCs w:val="18"/>
        </w:rPr>
        <w:t>e non può comportare la presentazione di una nuova offerta, né la sua modifica sostanziale.</w:t>
      </w:r>
    </w:p>
    <w:p w14:paraId="1ED77814" w14:textId="77777777" w:rsidR="00276DF7" w:rsidRPr="00FB3112" w:rsidRDefault="00276DF7" w:rsidP="00276DF7">
      <w:pPr>
        <w:shd w:val="clear" w:color="auto" w:fill="F2F2F2" w:themeFill="background1" w:themeFillShade="F2"/>
        <w:spacing w:before="60" w:after="60"/>
      </w:pPr>
      <w:r w:rsidRPr="003B49E3">
        <w:rPr>
          <w:rFonts w:ascii="Titillium" w:hAnsi="Titillium" w:cs="Calibri"/>
          <w:sz w:val="18"/>
          <w:szCs w:val="18"/>
        </w:rPr>
        <w:t>Se la rettifica è ritenuta non accoglibile perché sostanziale, è valutata la possibilità di dichiarare l’offerta inammissibile.</w:t>
      </w:r>
    </w:p>
    <w:p w14:paraId="4B264738" w14:textId="77777777" w:rsidR="00276DF7" w:rsidRDefault="00276DF7" w:rsidP="00276DF7">
      <w:pPr>
        <w:pStyle w:val="Titolo2"/>
        <w:numPr>
          <w:ilvl w:val="0"/>
          <w:numId w:val="4"/>
        </w:numPr>
        <w:shd w:val="clear" w:color="auto" w:fill="F2F2F2" w:themeFill="background1" w:themeFillShade="F2"/>
        <w:ind w:left="357" w:hanging="357"/>
        <w:rPr>
          <w:rFonts w:ascii="Titillium" w:hAnsi="Titillium"/>
          <w:sz w:val="18"/>
          <w:szCs w:val="18"/>
          <w:lang w:val="it-IT"/>
        </w:rPr>
      </w:pPr>
      <w:bookmarkStart w:id="1794" w:name="_Ref129796272"/>
      <w:bookmarkStart w:id="1795" w:name="_Toc139549436"/>
      <w:r>
        <w:rPr>
          <w:rFonts w:ascii="Titillium" w:hAnsi="Titillium"/>
          <w:sz w:val="18"/>
          <w:szCs w:val="18"/>
          <w:lang w:val="it-IT"/>
        </w:rPr>
        <w:t>SOCCORSO ISTRUTTORIO</w:t>
      </w:r>
      <w:bookmarkEnd w:id="1794"/>
      <w:bookmarkEnd w:id="1795"/>
    </w:p>
    <w:p w14:paraId="168712C7"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Con la procedura di soccorso istruttorio di cui all’articolo 101 del Codice, possono essere sanate le carenze della documentazione trasmessa con la domanda di partecipazione ma non quelle della documentazione che compone l’offerta tecnica e l’offerta economica.</w:t>
      </w:r>
    </w:p>
    <w:p w14:paraId="56E81131"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 xml:space="preserve">Con la medesima procedura può essere sanata ogni omissione, inesattezza o irregolarità della domanda di partecipazione e di ogni altro documento richiesto per la partecipazione alla procedura di gara, con esclusione della documentazione che compone l’offerta tecnica e l’offerta economica. Non sono sanabili le omissioni, le inesattezze e irregolarità che rendono assolutamente incerta l’identità del concorrente. A titolo esemplificativo, si chiarisce che: </w:t>
      </w:r>
    </w:p>
    <w:p w14:paraId="1FE867C9" w14:textId="77777777" w:rsidR="00276DF7" w:rsidRPr="00711F6B" w:rsidRDefault="00276DF7" w:rsidP="00276DF7">
      <w:pPr>
        <w:pStyle w:val="Paragrafoelenco"/>
        <w:numPr>
          <w:ilvl w:val="0"/>
          <w:numId w:val="11"/>
        </w:numPr>
        <w:shd w:val="clear" w:color="auto" w:fill="F2F2F2" w:themeFill="background1" w:themeFillShade="F2"/>
      </w:pPr>
      <w:r w:rsidRPr="00711F6B">
        <w:rPr>
          <w:rFonts w:ascii="Titillium" w:hAnsi="Titillium"/>
          <w:sz w:val="18"/>
          <w:szCs w:val="18"/>
        </w:rPr>
        <w:t>il mancato possesso dei prescritti requisiti di partecipazione non è sanabile mediante soccorso istruttorio ed è causa di esclusione dalla procedura di gara;</w:t>
      </w:r>
    </w:p>
    <w:p w14:paraId="31E23B79" w14:textId="77777777" w:rsidR="00276DF7" w:rsidRPr="000D49E9" w:rsidRDefault="00276DF7" w:rsidP="00276DF7">
      <w:pPr>
        <w:pStyle w:val="Paragrafoelenco"/>
        <w:numPr>
          <w:ilvl w:val="0"/>
          <w:numId w:val="11"/>
        </w:numPr>
        <w:shd w:val="clear" w:color="auto" w:fill="F2F2F2" w:themeFill="background1" w:themeFillShade="F2"/>
        <w:spacing w:before="60" w:after="60"/>
        <w:rPr>
          <w:rFonts w:ascii="Titillium" w:hAnsi="Titillium"/>
          <w:sz w:val="18"/>
          <w:szCs w:val="18"/>
        </w:rPr>
      </w:pPr>
      <w:r w:rsidRPr="000D49E9">
        <w:rPr>
          <w:rFonts w:ascii="Titillium" w:hAnsi="Titillium"/>
          <w:sz w:val="18"/>
          <w:szCs w:val="18"/>
        </w:rPr>
        <w:t>l’omessa o incompleta nonché irregolare presentazione delle dichiarazioni sul possesso dei requisiti di partecipazione e ogni altra mancanza, incompletezza o irregolarità della domanda, sono sanabili, ad eccezione delle false dichiarazioni;</w:t>
      </w:r>
    </w:p>
    <w:p w14:paraId="4F10664D" w14:textId="77777777" w:rsidR="00276DF7" w:rsidRDefault="00276DF7" w:rsidP="00276DF7">
      <w:pPr>
        <w:pStyle w:val="Paragrafoelenco"/>
        <w:numPr>
          <w:ilvl w:val="0"/>
          <w:numId w:val="11"/>
        </w:numPr>
        <w:shd w:val="clear" w:color="auto" w:fill="F2F2F2" w:themeFill="background1" w:themeFillShade="F2"/>
        <w:spacing w:before="60" w:after="60"/>
      </w:pPr>
      <w:r>
        <w:rPr>
          <w:rFonts w:ascii="Titillium" w:hAnsi="Titillium"/>
          <w:sz w:val="18"/>
          <w:szCs w:val="18"/>
        </w:rPr>
        <w:t xml:space="preserve">la mancata produzione del contratto di avvalimento, della </w:t>
      </w:r>
      <w:r w:rsidRPr="009F1861">
        <w:rPr>
          <w:rFonts w:ascii="Titillium" w:hAnsi="Titillium"/>
          <w:sz w:val="18"/>
          <w:szCs w:val="18"/>
        </w:rPr>
        <w:t>garanzia provvisoria</w:t>
      </w:r>
      <w:r>
        <w:rPr>
          <w:rFonts w:ascii="Titillium" w:hAnsi="Titillium"/>
          <w:sz w:val="18"/>
          <w:szCs w:val="18"/>
        </w:rPr>
        <w:t>, del</w:t>
      </w:r>
      <w:r w:rsidRPr="009F1861">
        <w:rPr>
          <w:rFonts w:ascii="Titillium" w:hAnsi="Titillium"/>
          <w:sz w:val="18"/>
          <w:szCs w:val="18"/>
        </w:rPr>
        <w:t xml:space="preserve"> mandato collettivo speciale o </w:t>
      </w:r>
      <w:r>
        <w:rPr>
          <w:rFonts w:ascii="Titillium" w:hAnsi="Titillium"/>
          <w:sz w:val="18"/>
          <w:szCs w:val="18"/>
        </w:rPr>
        <w:t>dell’</w:t>
      </w:r>
      <w:r w:rsidRPr="009F1861">
        <w:rPr>
          <w:rFonts w:ascii="Titillium" w:hAnsi="Titillium"/>
          <w:sz w:val="18"/>
          <w:szCs w:val="18"/>
        </w:rPr>
        <w:t>impegno a conferire mandato collettivo</w:t>
      </w:r>
      <w:r>
        <w:rPr>
          <w:rFonts w:ascii="Titillium" w:hAnsi="Titillium"/>
          <w:sz w:val="18"/>
          <w:szCs w:val="18"/>
        </w:rPr>
        <w:t xml:space="preserve"> può essere oggetto di soccorso istruttorio solo se i citati documenti sono preesistenti e comprovabili con data certa anteriore al termine di presentazione dell’offerta;</w:t>
      </w:r>
    </w:p>
    <w:p w14:paraId="43316D8A" w14:textId="77777777" w:rsidR="00276DF7" w:rsidRPr="00B50FE7" w:rsidRDefault="00276DF7" w:rsidP="00276DF7">
      <w:pPr>
        <w:pStyle w:val="Paragrafoelenco"/>
        <w:numPr>
          <w:ilvl w:val="0"/>
          <w:numId w:val="11"/>
        </w:numPr>
        <w:shd w:val="clear" w:color="auto" w:fill="F2F2F2" w:themeFill="background1" w:themeFillShade="F2"/>
        <w:spacing w:before="60" w:after="120"/>
        <w:rPr>
          <w:rFonts w:ascii="Titillium" w:hAnsi="Titillium" w:cs="Arial"/>
          <w:b/>
          <w:bCs/>
          <w:i/>
          <w:sz w:val="18"/>
          <w:szCs w:val="18"/>
        </w:rPr>
      </w:pPr>
      <w:r w:rsidRPr="00B50FE7">
        <w:rPr>
          <w:rFonts w:ascii="Titillium" w:hAnsi="Titillium"/>
          <w:sz w:val="18"/>
          <w:szCs w:val="18"/>
        </w:rPr>
        <w:t>il difetto di sottoscrizione della domanda di partecipazione, delle dichiarazioni richieste e dell’offerta è sanabile;</w:t>
      </w:r>
    </w:p>
    <w:p w14:paraId="5A44319B" w14:textId="4881BA06" w:rsidR="00276DF7" w:rsidRPr="000D2516" w:rsidRDefault="00276DF7" w:rsidP="00276DF7">
      <w:pPr>
        <w:pStyle w:val="Paragrafoelenco"/>
        <w:numPr>
          <w:ilvl w:val="0"/>
          <w:numId w:val="11"/>
        </w:numPr>
        <w:shd w:val="clear" w:color="auto" w:fill="F2F2F2" w:themeFill="background1" w:themeFillShade="F2"/>
        <w:spacing w:before="60" w:after="120"/>
        <w:rPr>
          <w:rFonts w:ascii="Titillium" w:hAnsi="Titillium" w:cs="Arial"/>
          <w:b/>
          <w:bCs/>
          <w:i/>
          <w:sz w:val="18"/>
          <w:szCs w:val="18"/>
        </w:rPr>
      </w:pPr>
      <w:r w:rsidRPr="00B50FE7">
        <w:rPr>
          <w:rFonts w:ascii="Titillium" w:hAnsi="Titillium"/>
          <w:sz w:val="18"/>
          <w:szCs w:val="18"/>
        </w:rPr>
        <w:t xml:space="preserve">non è sanabile mediante soccorso istruttorio </w:t>
      </w:r>
      <w:r w:rsidRPr="009C5604">
        <w:rPr>
          <w:rFonts w:ascii="Titillium" w:hAnsi="Titillium"/>
          <w:sz w:val="18"/>
          <w:szCs w:val="18"/>
        </w:rPr>
        <w:t xml:space="preserve">l’omessa indicazione, delle modalità con le quali l’operatore intende assicurare, in caso di aggiudicazione del contratto, </w:t>
      </w:r>
      <w:r w:rsidRPr="00B50FE7">
        <w:rPr>
          <w:rFonts w:ascii="Titillium" w:hAnsi="Titillium"/>
          <w:sz w:val="18"/>
          <w:szCs w:val="18"/>
        </w:rPr>
        <w:t xml:space="preserve">il rispetto delle condizioni di partecipazione e di esecuzione di cui all’articolo </w:t>
      </w:r>
      <w:r>
        <w:rPr>
          <w:rFonts w:ascii="Titillium" w:hAnsi="Titillium"/>
          <w:sz w:val="18"/>
          <w:szCs w:val="18"/>
        </w:rPr>
        <w:fldChar w:fldCharType="begin"/>
      </w:r>
      <w:r>
        <w:rPr>
          <w:rFonts w:ascii="Titillium" w:hAnsi="Titillium"/>
          <w:sz w:val="18"/>
          <w:szCs w:val="18"/>
        </w:rPr>
        <w:instrText xml:space="preserve"> REF _Ref132050689 \r \h </w:instrText>
      </w:r>
      <w:r>
        <w:rPr>
          <w:rFonts w:ascii="Titillium" w:hAnsi="Titillium"/>
          <w:sz w:val="18"/>
          <w:szCs w:val="18"/>
        </w:rPr>
      </w:r>
      <w:r>
        <w:rPr>
          <w:rFonts w:ascii="Titillium" w:hAnsi="Titillium"/>
          <w:sz w:val="18"/>
          <w:szCs w:val="18"/>
        </w:rPr>
        <w:instrText xml:space="preserve"> \* MERGEFORMAT </w:instrText>
      </w:r>
      <w:r>
        <w:rPr>
          <w:rFonts w:ascii="Titillium" w:hAnsi="Titillium"/>
          <w:sz w:val="18"/>
          <w:szCs w:val="18"/>
        </w:rPr>
        <w:fldChar w:fldCharType="separate"/>
      </w:r>
      <w:r>
        <w:rPr>
          <w:rFonts w:ascii="Titillium" w:hAnsi="Titillium"/>
          <w:sz w:val="18"/>
          <w:szCs w:val="18"/>
        </w:rPr>
        <w:t>9</w:t>
      </w:r>
      <w:r>
        <w:rPr>
          <w:rFonts w:ascii="Titillium" w:hAnsi="Titillium"/>
          <w:sz w:val="18"/>
          <w:szCs w:val="18"/>
        </w:rPr>
        <w:fldChar w:fldCharType="end"/>
      </w:r>
      <w:r>
        <w:rPr>
          <w:rFonts w:ascii="Titillium" w:hAnsi="Titillium"/>
          <w:sz w:val="18"/>
          <w:szCs w:val="18"/>
        </w:rPr>
        <w:t xml:space="preserve"> </w:t>
      </w:r>
      <w:r w:rsidRPr="00B50FE7">
        <w:rPr>
          <w:rFonts w:ascii="Titillium" w:hAnsi="Titillium"/>
          <w:sz w:val="18"/>
          <w:szCs w:val="18"/>
        </w:rPr>
        <w:t>del presente bando</w:t>
      </w:r>
      <w:r w:rsidRPr="000D2516">
        <w:rPr>
          <w:rFonts w:ascii="Titillium" w:hAnsi="Titillium"/>
          <w:sz w:val="18"/>
          <w:szCs w:val="18"/>
        </w:rPr>
        <w:t xml:space="preserve">. </w:t>
      </w:r>
    </w:p>
    <w:p w14:paraId="052FE56C" w14:textId="77777777" w:rsidR="00276DF7" w:rsidRPr="0097523D" w:rsidRDefault="00276DF7" w:rsidP="00276DF7">
      <w:pPr>
        <w:pStyle w:val="Paragrafoelenco"/>
        <w:shd w:val="clear" w:color="auto" w:fill="F2F2F2" w:themeFill="background1" w:themeFillShade="F2"/>
        <w:spacing w:before="60" w:after="120"/>
        <w:rPr>
          <w:rFonts w:ascii="Titillium" w:hAnsi="Titillium" w:cs="Arial"/>
          <w:b/>
          <w:bCs/>
          <w:i/>
          <w:sz w:val="18"/>
          <w:szCs w:val="18"/>
          <w:highlight w:val="yellow"/>
        </w:rPr>
      </w:pPr>
      <w:r w:rsidRPr="0097523D">
        <w:rPr>
          <w:rFonts w:ascii="Titillium" w:hAnsi="Titillium" w:cs="Arial"/>
          <w:b/>
          <w:i/>
          <w:sz w:val="18"/>
          <w:szCs w:val="18"/>
        </w:rPr>
        <w:lastRenderedPageBreak/>
        <w:t>[</w:t>
      </w:r>
      <w:r w:rsidRPr="0097523D">
        <w:rPr>
          <w:rFonts w:ascii="Titillium" w:hAnsi="Titillium" w:cs="Arial"/>
          <w:b/>
          <w:bCs/>
          <w:i/>
          <w:sz w:val="18"/>
          <w:szCs w:val="18"/>
        </w:rPr>
        <w:t xml:space="preserve">in caso di procedure </w:t>
      </w:r>
      <w:r w:rsidRPr="00922227">
        <w:rPr>
          <w:rFonts w:ascii="Titillium" w:hAnsi="Titillium" w:cs="Arial"/>
          <w:b/>
          <w:bCs/>
          <w:i/>
          <w:sz w:val="18"/>
          <w:szCs w:val="18"/>
        </w:rPr>
        <w:t>riservate ai sensi dell’articolo 61 del codice e</w:t>
      </w:r>
      <w:r>
        <w:rPr>
          <w:rFonts w:ascii="Titillium" w:hAnsi="Titillium" w:cs="Arial"/>
          <w:b/>
          <w:bCs/>
          <w:i/>
          <w:sz w:val="18"/>
          <w:szCs w:val="18"/>
        </w:rPr>
        <w:t>/o</w:t>
      </w:r>
      <w:r w:rsidRPr="00922227">
        <w:rPr>
          <w:rFonts w:ascii="Titillium" w:hAnsi="Titillium" w:cs="Arial"/>
          <w:b/>
          <w:bCs/>
          <w:i/>
          <w:sz w:val="18"/>
          <w:szCs w:val="18"/>
        </w:rPr>
        <w:t xml:space="preserve"> </w:t>
      </w:r>
      <w:r>
        <w:rPr>
          <w:rFonts w:ascii="Titillium" w:hAnsi="Titillium" w:cs="Arial"/>
          <w:b/>
          <w:bCs/>
          <w:i/>
          <w:sz w:val="18"/>
          <w:szCs w:val="18"/>
        </w:rPr>
        <w:t>di procedure</w:t>
      </w:r>
      <w:r w:rsidRPr="00922227">
        <w:rPr>
          <w:rFonts w:ascii="Titillium" w:hAnsi="Titillium" w:cs="Arial"/>
          <w:b/>
          <w:bCs/>
          <w:i/>
          <w:sz w:val="18"/>
          <w:szCs w:val="18"/>
        </w:rPr>
        <w:t xml:space="preserve"> </w:t>
      </w:r>
      <w:r w:rsidRPr="0097523D">
        <w:rPr>
          <w:rFonts w:ascii="Titillium" w:hAnsi="Titillium" w:cs="Arial"/>
          <w:b/>
          <w:bCs/>
          <w:i/>
          <w:sz w:val="18"/>
          <w:szCs w:val="18"/>
        </w:rPr>
        <w:t xml:space="preserve">afferenti </w:t>
      </w:r>
      <w:r>
        <w:rPr>
          <w:rFonts w:ascii="Titillium" w:hAnsi="Titillium" w:cs="Arial"/>
          <w:b/>
          <w:bCs/>
          <w:i/>
          <w:sz w:val="18"/>
          <w:szCs w:val="18"/>
        </w:rPr>
        <w:t>a</w:t>
      </w:r>
      <w:r w:rsidRPr="0097523D">
        <w:rPr>
          <w:rFonts w:ascii="Titillium" w:hAnsi="Titillium" w:cs="Arial"/>
          <w:b/>
          <w:bCs/>
          <w:i/>
          <w:sz w:val="18"/>
          <w:szCs w:val="18"/>
        </w:rPr>
        <w:t xml:space="preserve">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97523D">
        <w:rPr>
          <w:rFonts w:ascii="Titillium" w:hAnsi="Titillium" w:cs="Courier New"/>
          <w:b/>
          <w:i/>
          <w:sz w:val="18"/>
          <w:szCs w:val="18"/>
        </w:rPr>
        <w:t>decreto legge 31 maggio 2021, n. 77, convertito, con modificazioni, dalla legge 29 luglio 2021, n. 108</w:t>
      </w:r>
      <w:r w:rsidRPr="0097523D">
        <w:rPr>
          <w:rFonts w:ascii="Titillium" w:hAnsi="Titillium" w:cs="Arial"/>
          <w:b/>
          <w:bCs/>
          <w:i/>
          <w:sz w:val="18"/>
          <w:szCs w:val="18"/>
        </w:rPr>
        <w:t xml:space="preserve">] </w:t>
      </w:r>
    </w:p>
    <w:p w14:paraId="1981191C" w14:textId="77777777" w:rsidR="00276DF7" w:rsidRPr="00F810E5" w:rsidRDefault="00276DF7" w:rsidP="00276DF7">
      <w:pPr>
        <w:pStyle w:val="Paragrafoelenco"/>
        <w:numPr>
          <w:ilvl w:val="0"/>
          <w:numId w:val="11"/>
        </w:numPr>
        <w:shd w:val="clear" w:color="auto" w:fill="F2F2F2" w:themeFill="background1" w:themeFillShade="F2"/>
        <w:spacing w:before="60" w:after="60"/>
        <w:rPr>
          <w:rFonts w:ascii="Titillium" w:hAnsi="Titillium"/>
          <w:sz w:val="18"/>
          <w:szCs w:val="18"/>
        </w:rPr>
      </w:pPr>
      <w:r w:rsidRPr="00243A6C">
        <w:rPr>
          <w:rFonts w:ascii="Titillium" w:hAnsi="Titillium"/>
          <w:sz w:val="18"/>
          <w:szCs w:val="18"/>
        </w:rPr>
        <w:t xml:space="preserve">sono sanabili l’omessa dichiarazione sull’aver assolto agli obblighi di cui alla legge 68/1999 e, per i concorrenti che occupano oltre cinquanta dipendenti, l’omessa presentazione di copia </w:t>
      </w:r>
      <w:r w:rsidRPr="00243A6C">
        <w:rPr>
          <w:rFonts w:ascii="Titillium" w:hAnsi="Titillium" w:cs="Courier New"/>
          <w:sz w:val="18"/>
          <w:szCs w:val="18"/>
        </w:rPr>
        <w:t>dell’ultimo rapporto periodico sulla situazione del personale maschile e femminile, redatto ai sensi dell’articolo 46 decreto legislativo n. 198 del 2006, e la trasmissione dello stesso alle rappresentanze sindacali e ai consiglieri regionali di parità</w:t>
      </w:r>
      <w:r>
        <w:rPr>
          <w:rFonts w:ascii="Titillium" w:hAnsi="Titillium" w:cs="Courier New"/>
          <w:sz w:val="18"/>
          <w:szCs w:val="18"/>
        </w:rPr>
        <w:t xml:space="preserve">, </w:t>
      </w:r>
      <w:r w:rsidRPr="00771B26">
        <w:rPr>
          <w:rFonts w:ascii="Titillium" w:hAnsi="Titillium" w:cs="Courier New"/>
          <w:sz w:val="18"/>
          <w:szCs w:val="18"/>
        </w:rPr>
        <w:t xml:space="preserve">purché </w:t>
      </w:r>
      <w:r w:rsidRPr="00F810E5">
        <w:rPr>
          <w:rFonts w:ascii="Titillium" w:hAnsi="Titillium" w:cs="Courier New"/>
          <w:sz w:val="18"/>
          <w:szCs w:val="18"/>
        </w:rPr>
        <w:t xml:space="preserve">redatto e trasmesso in data anteriore al termine per la presentazione delle offerte; </w:t>
      </w:r>
    </w:p>
    <w:p w14:paraId="08ACF57B" w14:textId="33CA6461" w:rsidR="00276DF7" w:rsidRPr="00F810E5" w:rsidRDefault="00276DF7" w:rsidP="00276DF7">
      <w:pPr>
        <w:pStyle w:val="Paragrafoelenco"/>
        <w:numPr>
          <w:ilvl w:val="0"/>
          <w:numId w:val="11"/>
        </w:numPr>
        <w:shd w:val="clear" w:color="auto" w:fill="F2F2F2" w:themeFill="background1" w:themeFillShade="F2"/>
        <w:spacing w:before="60" w:after="60"/>
        <w:rPr>
          <w:rFonts w:ascii="Titillium" w:hAnsi="Titillium"/>
          <w:sz w:val="18"/>
          <w:szCs w:val="18"/>
        </w:rPr>
      </w:pPr>
      <w:r w:rsidRPr="00B50FE7">
        <w:rPr>
          <w:rFonts w:ascii="Titillium" w:hAnsi="Titillium"/>
          <w:sz w:val="18"/>
          <w:szCs w:val="18"/>
        </w:rPr>
        <w:t xml:space="preserve">non è sanabile mediante soccorso istruttorio l’omesso impegno ad assicurare, in caso di aggiudicazione del contratto, l’assunzione di una quota di </w:t>
      </w:r>
      <w:r w:rsidRPr="00B50FE7">
        <w:rPr>
          <w:rFonts w:ascii="Titillium" w:hAnsi="Titillium" w:cs="Arial"/>
          <w:sz w:val="18"/>
          <w:szCs w:val="18"/>
        </w:rPr>
        <w:t xml:space="preserve">occupazione giovanile e femminile di cui all’articolo </w:t>
      </w:r>
      <w:r>
        <w:rPr>
          <w:rFonts w:ascii="Titillium" w:hAnsi="Titillium" w:cs="Arial"/>
          <w:sz w:val="18"/>
          <w:szCs w:val="18"/>
        </w:rPr>
        <w:fldChar w:fldCharType="begin"/>
      </w:r>
      <w:r>
        <w:rPr>
          <w:rFonts w:ascii="Titillium" w:hAnsi="Titillium" w:cs="Arial"/>
          <w:sz w:val="18"/>
          <w:szCs w:val="18"/>
        </w:rPr>
        <w:instrText xml:space="preserve"> REF _Ref132050689 \r \h </w:instrText>
      </w:r>
      <w:r>
        <w:rPr>
          <w:rFonts w:ascii="Titillium" w:hAnsi="Titillium" w:cs="Arial"/>
          <w:sz w:val="18"/>
          <w:szCs w:val="18"/>
        </w:rPr>
      </w:r>
      <w:r>
        <w:rPr>
          <w:rFonts w:ascii="Titillium" w:hAnsi="Titillium" w:cs="Arial"/>
          <w:sz w:val="18"/>
          <w:szCs w:val="18"/>
        </w:rPr>
        <w:instrText xml:space="preserve"> \* MERGEFORMAT </w:instrText>
      </w:r>
      <w:r>
        <w:rPr>
          <w:rFonts w:ascii="Titillium" w:hAnsi="Titillium" w:cs="Arial"/>
          <w:sz w:val="18"/>
          <w:szCs w:val="18"/>
        </w:rPr>
        <w:fldChar w:fldCharType="separate"/>
      </w:r>
      <w:r>
        <w:rPr>
          <w:rFonts w:ascii="Titillium" w:hAnsi="Titillium" w:cs="Arial"/>
          <w:sz w:val="18"/>
          <w:szCs w:val="18"/>
        </w:rPr>
        <w:t>9</w:t>
      </w:r>
      <w:r>
        <w:rPr>
          <w:rFonts w:ascii="Titillium" w:hAnsi="Titillium" w:cs="Arial"/>
          <w:sz w:val="18"/>
          <w:szCs w:val="18"/>
        </w:rPr>
        <w:fldChar w:fldCharType="end"/>
      </w:r>
      <w:r w:rsidRPr="00B50FE7">
        <w:rPr>
          <w:rFonts w:ascii="Titillium" w:hAnsi="Titillium" w:cs="Arial"/>
          <w:sz w:val="18"/>
          <w:szCs w:val="18"/>
        </w:rPr>
        <w:t xml:space="preserve"> del presente bando</w:t>
      </w:r>
      <w:r w:rsidRPr="00F810E5">
        <w:rPr>
          <w:rFonts w:ascii="Titillium" w:hAnsi="Titillium"/>
          <w:sz w:val="18"/>
          <w:szCs w:val="18"/>
        </w:rPr>
        <w:t>.</w:t>
      </w:r>
    </w:p>
    <w:p w14:paraId="6E522CE6" w14:textId="77777777" w:rsidR="00276DF7" w:rsidRDefault="00276DF7" w:rsidP="00276DF7">
      <w:pPr>
        <w:shd w:val="clear" w:color="auto" w:fill="F2F2F2" w:themeFill="background1" w:themeFillShade="F2"/>
        <w:spacing w:before="60" w:after="60"/>
      </w:pPr>
      <w:r w:rsidRPr="00CE61E8">
        <w:rPr>
          <w:rFonts w:ascii="Titillium" w:hAnsi="Titillium"/>
          <w:sz w:val="18"/>
          <w:szCs w:val="18"/>
        </w:rPr>
        <w:t>Ai fini del soccorso istruttorio</w:t>
      </w:r>
      <w:r>
        <w:rPr>
          <w:rFonts w:ascii="Titillium" w:hAnsi="Titillium"/>
          <w:sz w:val="18"/>
          <w:szCs w:val="18"/>
        </w:rPr>
        <w:t xml:space="preserve"> è assegnato</w:t>
      </w:r>
      <w:r w:rsidRPr="00CE61E8">
        <w:rPr>
          <w:rFonts w:ascii="Titillium" w:hAnsi="Titillium"/>
          <w:sz w:val="18"/>
          <w:szCs w:val="18"/>
        </w:rPr>
        <w:t xml:space="preserve"> al concorrente un </w:t>
      </w:r>
      <w:r>
        <w:rPr>
          <w:rFonts w:ascii="Titillium" w:hAnsi="Titillium"/>
          <w:sz w:val="18"/>
          <w:szCs w:val="18"/>
        </w:rPr>
        <w:t xml:space="preserve">termine di …… </w:t>
      </w:r>
      <w:r w:rsidRPr="00582A6D">
        <w:rPr>
          <w:rFonts w:ascii="Titillium" w:hAnsi="Titillium"/>
          <w:i/>
          <w:iCs/>
          <w:sz w:val="18"/>
          <w:szCs w:val="18"/>
        </w:rPr>
        <w:t>[indicare il termine</w:t>
      </w:r>
      <w:r w:rsidRPr="00072450">
        <w:rPr>
          <w:rFonts w:ascii="Titillium" w:hAnsi="Titillium"/>
          <w:i/>
          <w:iCs/>
          <w:sz w:val="18"/>
          <w:szCs w:val="18"/>
        </w:rPr>
        <w:t xml:space="preserve"> </w:t>
      </w:r>
      <w:r w:rsidRPr="00582A6D">
        <w:rPr>
          <w:rFonts w:ascii="Titillium" w:hAnsi="Titillium"/>
          <w:i/>
          <w:iCs/>
          <w:sz w:val="18"/>
          <w:szCs w:val="18"/>
        </w:rPr>
        <w:t>non inferiore a cinque e non superiore a dieci</w:t>
      </w:r>
      <w:r w:rsidRPr="00072450">
        <w:rPr>
          <w:rFonts w:ascii="Titillium" w:hAnsi="Titillium"/>
          <w:i/>
          <w:iCs/>
          <w:sz w:val="18"/>
          <w:szCs w:val="18"/>
        </w:rPr>
        <w:t xml:space="preserve"> </w:t>
      </w:r>
      <w:r w:rsidRPr="00582A6D">
        <w:rPr>
          <w:rFonts w:ascii="Titillium" w:hAnsi="Titillium"/>
          <w:i/>
          <w:iCs/>
          <w:sz w:val="18"/>
          <w:szCs w:val="18"/>
        </w:rPr>
        <w:t>giorni]</w:t>
      </w:r>
      <w:r w:rsidRPr="00CE61E8">
        <w:rPr>
          <w:rFonts w:ascii="Titillium" w:hAnsi="Titillium"/>
          <w:sz w:val="18"/>
          <w:szCs w:val="18"/>
        </w:rPr>
        <w:t xml:space="preserve"> </w:t>
      </w:r>
      <w:r>
        <w:rPr>
          <w:rFonts w:ascii="Titillium" w:hAnsi="Titillium"/>
          <w:sz w:val="18"/>
          <w:szCs w:val="18"/>
        </w:rPr>
        <w:t>affinché</w:t>
      </w:r>
      <w:r w:rsidRPr="00CE61E8">
        <w:rPr>
          <w:rFonts w:ascii="Titillium" w:hAnsi="Titillium"/>
          <w:sz w:val="18"/>
          <w:szCs w:val="18"/>
        </w:rPr>
        <w:t xml:space="preserve"> siano rese, integrate o regolarizzate le dichiarazioni necessarie, indicando il contenuto e i soggetti che le devono rendere nonché la sezione della Piattaforma dove deve essere inserita la documentazione richiesta. </w:t>
      </w:r>
    </w:p>
    <w:p w14:paraId="61915CC1" w14:textId="77777777" w:rsidR="00276DF7" w:rsidRDefault="00276DF7" w:rsidP="00276DF7">
      <w:pPr>
        <w:shd w:val="clear" w:color="auto" w:fill="F2F2F2" w:themeFill="background1" w:themeFillShade="F2"/>
        <w:spacing w:before="60" w:after="60"/>
      </w:pPr>
      <w:r>
        <w:rPr>
          <w:rFonts w:ascii="Titillium" w:hAnsi="Titillium"/>
          <w:sz w:val="18"/>
          <w:szCs w:val="18"/>
        </w:rPr>
        <w:t xml:space="preserve">In caso di inutile decorso del termine, la stazione appaltante </w:t>
      </w:r>
      <w:r w:rsidRPr="000C29CD">
        <w:rPr>
          <w:rFonts w:ascii="Titillium" w:hAnsi="Titillium"/>
          <w:sz w:val="18"/>
          <w:szCs w:val="18"/>
        </w:rPr>
        <w:t>procede all’esclusione del</w:t>
      </w:r>
      <w:r>
        <w:rPr>
          <w:rFonts w:ascii="Titillium" w:hAnsi="Titillium"/>
          <w:sz w:val="18"/>
          <w:szCs w:val="18"/>
        </w:rPr>
        <w:t xml:space="preserve"> concorrente dalla procedura.</w:t>
      </w:r>
    </w:p>
    <w:p w14:paraId="20A032DB"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 xml:space="preserve">Ove il concorrente produca dichiarazioni o documenti non perfettamente coerenti con la richiesta, la stazione appaltante può chiedere </w:t>
      </w:r>
      <w:r w:rsidRPr="001C08AC">
        <w:rPr>
          <w:rFonts w:ascii="Titillium" w:hAnsi="Titillium"/>
          <w:sz w:val="18"/>
          <w:szCs w:val="18"/>
        </w:rPr>
        <w:t>ulteriori precisazioni o chiarimenti, limitat</w:t>
      </w:r>
      <w:r>
        <w:rPr>
          <w:rFonts w:ascii="Titillium" w:hAnsi="Titillium"/>
          <w:sz w:val="18"/>
          <w:szCs w:val="18"/>
        </w:rPr>
        <w:t>i</w:t>
      </w:r>
      <w:r w:rsidRPr="001C08AC">
        <w:rPr>
          <w:rFonts w:ascii="Titillium" w:hAnsi="Titillium"/>
          <w:sz w:val="18"/>
          <w:szCs w:val="18"/>
        </w:rPr>
        <w:t xml:space="preserve"> alla documentazione presentata in fase di soccorso istruttorio, fissando un termine a pena di esclusione.</w:t>
      </w:r>
    </w:p>
    <w:p w14:paraId="3CCBADC3"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La stazione appaltante può sempre chiedere chiarimenti sui contenuti dell’offerta tecnica e dell’offerta economica e su ogni loro allegato. L’operatore economico è tenuto a fornire risposta nel termine di ………. [</w:t>
      </w:r>
      <w:r w:rsidRPr="00582A6D">
        <w:rPr>
          <w:rFonts w:ascii="Titillium" w:hAnsi="Titillium"/>
          <w:i/>
          <w:iCs/>
          <w:sz w:val="18"/>
          <w:szCs w:val="18"/>
        </w:rPr>
        <w:t>indicare un termine che non può essere inferiore a cinque giorni e superiore a dieci giorni]</w:t>
      </w:r>
      <w:r>
        <w:rPr>
          <w:rFonts w:ascii="Titillium" w:hAnsi="Titillium"/>
          <w:sz w:val="18"/>
          <w:szCs w:val="18"/>
        </w:rPr>
        <w:t>. I chiarimenti resi dall’operatore economico non possono modificare il contenuto dell’offerta.</w:t>
      </w:r>
    </w:p>
    <w:p w14:paraId="6CD5E023" w14:textId="77777777" w:rsidR="00276DF7" w:rsidRDefault="00276DF7" w:rsidP="00276DF7">
      <w:pPr>
        <w:pStyle w:val="Titolo2"/>
        <w:numPr>
          <w:ilvl w:val="0"/>
          <w:numId w:val="4"/>
        </w:numPr>
        <w:shd w:val="clear" w:color="auto" w:fill="F2F2F2" w:themeFill="background1" w:themeFillShade="F2"/>
        <w:ind w:left="357" w:hanging="357"/>
      </w:pPr>
      <w:bookmarkStart w:id="1796" w:name="_Toc139549437"/>
      <w:r>
        <w:rPr>
          <w:rFonts w:ascii="Titillium" w:hAnsi="Titillium"/>
          <w:sz w:val="18"/>
          <w:szCs w:val="18"/>
          <w:lang w:val="it-IT"/>
        </w:rPr>
        <w:t>DOMANDA DI PARTECIPAZIONE E DOCUMENTAZIONE AMMINISTRATIVA</w:t>
      </w:r>
      <w:bookmarkStart w:id="1797" w:name="_Ref481767076"/>
      <w:bookmarkStart w:id="1798" w:name="_Ref481767068"/>
      <w:bookmarkStart w:id="1799" w:name="_Toc354038186"/>
      <w:bookmarkStart w:id="1800" w:name="_Toc416423365"/>
      <w:bookmarkStart w:id="1801" w:name="_Toc406754180"/>
      <w:bookmarkStart w:id="1802" w:name="_Toc406058379"/>
      <w:bookmarkStart w:id="1803" w:name="_Toc403471273"/>
      <w:bookmarkStart w:id="1804" w:name="_Toc397422866"/>
      <w:bookmarkStart w:id="1805" w:name="_Toc397346825"/>
      <w:bookmarkStart w:id="1806" w:name="_Toc393706910"/>
      <w:bookmarkStart w:id="1807" w:name="_Toc393700837"/>
      <w:bookmarkStart w:id="1808" w:name="_Toc393283178"/>
      <w:bookmarkStart w:id="1809" w:name="_Toc393272662"/>
      <w:bookmarkStart w:id="1810" w:name="_Toc393272604"/>
      <w:bookmarkStart w:id="1811" w:name="_Toc393187848"/>
      <w:bookmarkStart w:id="1812" w:name="_Toc393112131"/>
      <w:bookmarkStart w:id="1813" w:name="_Toc393110567"/>
      <w:bookmarkStart w:id="1814" w:name="_Toc392577500"/>
      <w:bookmarkStart w:id="1815" w:name="_Toc391036059"/>
      <w:bookmarkStart w:id="1816" w:name="_Toc391035986"/>
      <w:bookmarkStart w:id="1817" w:name="_Toc380501873"/>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p>
    <w:p w14:paraId="640497CC"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L’operatore economico utilizza a Piattaforma … </w:t>
      </w:r>
      <w:r>
        <w:rPr>
          <w:rFonts w:ascii="Titillium" w:hAnsi="Titillium" w:cs="Calibri"/>
          <w:i/>
          <w:sz w:val="18"/>
          <w:szCs w:val="18"/>
        </w:rPr>
        <w:t>[la SA indica la Sezione/Area della Piattaforma]</w:t>
      </w:r>
      <w:r>
        <w:rPr>
          <w:rFonts w:ascii="Titillium" w:hAnsi="Titillium" w:cs="Calibri"/>
          <w:sz w:val="18"/>
          <w:szCs w:val="18"/>
        </w:rPr>
        <w:t xml:space="preserve"> per compilare o allegare la seguente documentazione:</w:t>
      </w:r>
    </w:p>
    <w:p w14:paraId="1F405B55" w14:textId="77777777" w:rsidR="00276DF7" w:rsidRPr="00582A6D" w:rsidRDefault="00276DF7" w:rsidP="00276DF7">
      <w:pPr>
        <w:pStyle w:val="Paragrafoelenco"/>
        <w:numPr>
          <w:ilvl w:val="0"/>
          <w:numId w:val="16"/>
        </w:numPr>
        <w:shd w:val="clear" w:color="auto" w:fill="F2F2F2" w:themeFill="background1" w:themeFillShade="F2"/>
        <w:spacing w:before="60" w:after="60"/>
      </w:pPr>
      <w:r>
        <w:rPr>
          <w:rFonts w:ascii="Titillium" w:hAnsi="Titillium" w:cs="Calibri"/>
          <w:sz w:val="18"/>
          <w:szCs w:val="18"/>
        </w:rPr>
        <w:t>domanda di partecipazione</w:t>
      </w:r>
    </w:p>
    <w:p w14:paraId="02FC86C7" w14:textId="77777777" w:rsidR="00276DF7" w:rsidRPr="00432F75" w:rsidRDefault="00276DF7" w:rsidP="00276DF7">
      <w:pPr>
        <w:pStyle w:val="Paragrafoelenco"/>
        <w:numPr>
          <w:ilvl w:val="0"/>
          <w:numId w:val="16"/>
        </w:numPr>
        <w:shd w:val="clear" w:color="auto" w:fill="F2F2F2" w:themeFill="background1" w:themeFillShade="F2"/>
        <w:spacing w:before="60" w:after="60"/>
      </w:pPr>
      <w:r>
        <w:rPr>
          <w:rFonts w:ascii="Titillium" w:hAnsi="Titillium" w:cs="Calibri"/>
          <w:sz w:val="18"/>
          <w:szCs w:val="18"/>
        </w:rPr>
        <w:t>DGUE</w:t>
      </w:r>
    </w:p>
    <w:p w14:paraId="2CCB2AEE" w14:textId="77777777" w:rsidR="00276DF7" w:rsidRDefault="00276DF7" w:rsidP="00276DF7">
      <w:pPr>
        <w:pStyle w:val="Paragrafoelenco"/>
        <w:numPr>
          <w:ilvl w:val="0"/>
          <w:numId w:val="16"/>
        </w:numPr>
        <w:shd w:val="clear" w:color="auto" w:fill="F2F2F2" w:themeFill="background1" w:themeFillShade="F2"/>
        <w:spacing w:before="60" w:after="60"/>
      </w:pPr>
      <w:r>
        <w:rPr>
          <w:rFonts w:ascii="Titillium" w:hAnsi="Titillium" w:cs="Calibri"/>
          <w:sz w:val="18"/>
          <w:szCs w:val="18"/>
        </w:rPr>
        <w:t>eventuale procura;</w:t>
      </w:r>
    </w:p>
    <w:p w14:paraId="093AAD81" w14:textId="77777777" w:rsidR="00276DF7" w:rsidRDefault="00276DF7" w:rsidP="00276DF7">
      <w:pPr>
        <w:pStyle w:val="Paragrafoelenco"/>
        <w:numPr>
          <w:ilvl w:val="0"/>
          <w:numId w:val="16"/>
        </w:numPr>
        <w:shd w:val="clear" w:color="auto" w:fill="F2F2F2" w:themeFill="background1" w:themeFillShade="F2"/>
        <w:spacing w:before="60" w:after="60"/>
      </w:pPr>
      <w:r>
        <w:rPr>
          <w:rFonts w:ascii="Titillium" w:hAnsi="Titillium"/>
          <w:sz w:val="18"/>
          <w:szCs w:val="18"/>
        </w:rPr>
        <w:t>garanzia provvisoria</w:t>
      </w:r>
      <w:r>
        <w:rPr>
          <w:rFonts w:ascii="Titillium" w:hAnsi="Titillium" w:cs="Calibri"/>
          <w:sz w:val="18"/>
          <w:szCs w:val="18"/>
        </w:rPr>
        <w:t>;</w:t>
      </w:r>
    </w:p>
    <w:p w14:paraId="2B1EEB75" w14:textId="77777777" w:rsidR="00276DF7" w:rsidRDefault="00276DF7" w:rsidP="00276DF7">
      <w:pPr>
        <w:pStyle w:val="Paragrafoelenco"/>
        <w:numPr>
          <w:ilvl w:val="0"/>
          <w:numId w:val="16"/>
        </w:numPr>
        <w:shd w:val="clear" w:color="auto" w:fill="F2F2F2" w:themeFill="background1" w:themeFillShade="F2"/>
        <w:spacing w:before="60" w:after="60"/>
      </w:pPr>
      <w:r>
        <w:rPr>
          <w:rFonts w:ascii="Titillium" w:hAnsi="Titillium" w:cs="Calibri"/>
          <w:sz w:val="18"/>
          <w:szCs w:val="18"/>
        </w:rPr>
        <w:t xml:space="preserve">PASSoe </w:t>
      </w:r>
      <w:r w:rsidRPr="00582A6D">
        <w:rPr>
          <w:rFonts w:ascii="Titillium" w:hAnsi="Titillium" w:cs="Calibri"/>
          <w:i/>
          <w:iCs/>
          <w:sz w:val="18"/>
          <w:szCs w:val="18"/>
        </w:rPr>
        <w:t>[fino al 31 dicembre 2023],</w:t>
      </w:r>
      <w:r>
        <w:rPr>
          <w:rFonts w:ascii="Titillium" w:hAnsi="Titillium" w:cs="Calibri"/>
          <w:sz w:val="18"/>
          <w:szCs w:val="18"/>
        </w:rPr>
        <w:t xml:space="preserve"> </w:t>
      </w:r>
    </w:p>
    <w:p w14:paraId="5C3BA6D1" w14:textId="76799BCD" w:rsidR="00276DF7" w:rsidRDefault="00276DF7" w:rsidP="00276DF7">
      <w:pPr>
        <w:pStyle w:val="Paragrafoelenco"/>
        <w:numPr>
          <w:ilvl w:val="0"/>
          <w:numId w:val="16"/>
        </w:num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documentazione in caso di avvalimento di cui al punto </w:t>
      </w:r>
      <w:r>
        <w:rPr>
          <w:rFonts w:ascii="Titillium" w:hAnsi="Titillium" w:cs="Calibri"/>
          <w:sz w:val="18"/>
          <w:szCs w:val="18"/>
        </w:rPr>
        <w:fldChar w:fldCharType="begin"/>
      </w:r>
      <w:r>
        <w:rPr>
          <w:rFonts w:ascii="Titillium" w:hAnsi="Titillium" w:cs="Calibri"/>
          <w:sz w:val="18"/>
          <w:szCs w:val="18"/>
        </w:rPr>
        <w:instrText xml:space="preserve"> REF _Ref132054207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15.3</w:t>
      </w:r>
      <w:r>
        <w:rPr>
          <w:rFonts w:ascii="Titillium" w:hAnsi="Titillium" w:cs="Calibri"/>
          <w:sz w:val="18"/>
          <w:szCs w:val="18"/>
        </w:rPr>
        <w:fldChar w:fldCharType="end"/>
      </w:r>
      <w:r>
        <w:rPr>
          <w:rFonts w:ascii="Titillium" w:hAnsi="Titillium" w:cs="Calibri"/>
          <w:sz w:val="18"/>
          <w:szCs w:val="18"/>
        </w:rPr>
        <w:t>;</w:t>
      </w:r>
    </w:p>
    <w:p w14:paraId="777B8C6B" w14:textId="325AFB03" w:rsidR="00276DF7" w:rsidRDefault="00276DF7" w:rsidP="00276DF7">
      <w:pPr>
        <w:pStyle w:val="Paragrafoelenco"/>
        <w:numPr>
          <w:ilvl w:val="0"/>
          <w:numId w:val="16"/>
        </w:numPr>
        <w:shd w:val="clear" w:color="auto" w:fill="F2F2F2" w:themeFill="background1" w:themeFillShade="F2"/>
        <w:spacing w:before="60" w:after="60"/>
      </w:pPr>
      <w:r>
        <w:rPr>
          <w:rFonts w:ascii="Titillium" w:hAnsi="Titillium" w:cs="Calibri"/>
          <w:sz w:val="18"/>
          <w:szCs w:val="18"/>
        </w:rPr>
        <w:t xml:space="preserve">documentazione per i soggetti associati di cui al punto </w:t>
      </w:r>
      <w:r>
        <w:rPr>
          <w:rFonts w:ascii="Titillium" w:hAnsi="Titillium" w:cs="Calibri"/>
          <w:sz w:val="18"/>
          <w:szCs w:val="18"/>
        </w:rPr>
        <w:fldChar w:fldCharType="begin"/>
      </w:r>
      <w:r>
        <w:rPr>
          <w:rFonts w:ascii="Titillium" w:hAnsi="Titillium" w:cs="Calibri"/>
          <w:sz w:val="18"/>
          <w:szCs w:val="18"/>
        </w:rPr>
        <w:instrText xml:space="preserve"> REF _Ref498427979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15.4</w:t>
      </w:r>
      <w:r>
        <w:rPr>
          <w:rFonts w:ascii="Titillium" w:hAnsi="Titillium" w:cs="Calibri"/>
          <w:sz w:val="18"/>
          <w:szCs w:val="18"/>
        </w:rPr>
        <w:fldChar w:fldCharType="end"/>
      </w:r>
      <w:r>
        <w:rPr>
          <w:rFonts w:ascii="Titillium" w:hAnsi="Titillium" w:cs="Calibri"/>
          <w:sz w:val="18"/>
          <w:szCs w:val="18"/>
        </w:rPr>
        <w:t>;</w:t>
      </w:r>
    </w:p>
    <w:p w14:paraId="59C6E5AC" w14:textId="77777777" w:rsidR="00276DF7" w:rsidRPr="00DA0D73" w:rsidRDefault="00276DF7" w:rsidP="00276DF7">
      <w:pPr>
        <w:pStyle w:val="Paragrafoelenco"/>
        <w:numPr>
          <w:ilvl w:val="0"/>
          <w:numId w:val="16"/>
        </w:numPr>
        <w:shd w:val="clear" w:color="auto" w:fill="F2F2F2" w:themeFill="background1" w:themeFillShade="F2"/>
        <w:spacing w:before="60" w:after="60"/>
      </w:pPr>
      <w:r w:rsidRPr="00331144">
        <w:rPr>
          <w:rFonts w:ascii="Titillium" w:hAnsi="Titillium" w:cs="Calibri"/>
          <w:b/>
          <w:i/>
          <w:sz w:val="18"/>
          <w:szCs w:val="18"/>
        </w:rPr>
        <w:t>[</w:t>
      </w:r>
      <w:r>
        <w:rPr>
          <w:rFonts w:ascii="Titillium" w:hAnsi="Titillium" w:cs="Calibri"/>
          <w:b/>
          <w:bCs/>
          <w:i/>
          <w:iCs/>
          <w:sz w:val="18"/>
          <w:szCs w:val="18"/>
        </w:rPr>
        <w:t>Se previsti altri documenti</w:t>
      </w:r>
      <w:r w:rsidRPr="00331144">
        <w:rPr>
          <w:rFonts w:ascii="Titillium" w:hAnsi="Titillium" w:cs="Calibri"/>
          <w:b/>
          <w:i/>
          <w:sz w:val="18"/>
          <w:szCs w:val="18"/>
        </w:rPr>
        <w:t>]</w:t>
      </w:r>
      <w:r>
        <w:rPr>
          <w:rFonts w:ascii="Titillium" w:hAnsi="Titillium" w:cs="Calibri"/>
          <w:sz w:val="18"/>
          <w:szCs w:val="18"/>
        </w:rPr>
        <w:t xml:space="preserve"> … [</w:t>
      </w:r>
      <w:r>
        <w:rPr>
          <w:rFonts w:ascii="Titillium" w:hAnsi="Titillium" w:cs="Calibri"/>
          <w:i/>
          <w:iCs/>
          <w:sz w:val="18"/>
          <w:szCs w:val="18"/>
        </w:rPr>
        <w:t>indicare gli altri documenti previsti in relazione alla specificità dell’affidamento, diversi da quelli già in possesso</w:t>
      </w:r>
      <w:r>
        <w:rPr>
          <w:rFonts w:ascii="Titillium" w:hAnsi="Titillium" w:cs="Calibri"/>
          <w:sz w:val="18"/>
          <w:szCs w:val="18"/>
        </w:rPr>
        <w:t>]</w:t>
      </w:r>
    </w:p>
    <w:p w14:paraId="3E65DA9D" w14:textId="77777777" w:rsidR="00276DF7" w:rsidRDefault="00276DF7" w:rsidP="00276DF7">
      <w:pPr>
        <w:shd w:val="clear" w:color="auto" w:fill="F2F2F2" w:themeFill="background1" w:themeFillShade="F2"/>
        <w:spacing w:before="60" w:after="60"/>
        <w:ind w:left="360"/>
        <w:rPr>
          <w:rFonts w:ascii="Titillium" w:hAnsi="Titillium" w:cs="Arial"/>
          <w:b/>
          <w:bCs/>
          <w:i/>
          <w:sz w:val="18"/>
          <w:szCs w:val="18"/>
        </w:rPr>
      </w:pPr>
    </w:p>
    <w:p w14:paraId="64809EC9" w14:textId="77777777" w:rsidR="00276DF7" w:rsidRPr="00243A6C" w:rsidRDefault="00276DF7" w:rsidP="00276DF7">
      <w:pPr>
        <w:shd w:val="clear" w:color="auto" w:fill="F2F2F2" w:themeFill="background1" w:themeFillShade="F2"/>
        <w:spacing w:before="60" w:after="60"/>
        <w:ind w:left="360"/>
        <w:rPr>
          <w:rFonts w:ascii="Titillium" w:hAnsi="Titillium"/>
          <w:sz w:val="18"/>
          <w:szCs w:val="18"/>
          <w:shd w:val="clear" w:color="auto" w:fill="FFFFFF"/>
        </w:rPr>
      </w:pPr>
      <w:r w:rsidRPr="00243A6C">
        <w:rPr>
          <w:rFonts w:ascii="Titillium" w:hAnsi="Titillium" w:cs="Arial"/>
          <w:b/>
          <w:bCs/>
          <w:i/>
          <w:sz w:val="18"/>
          <w:szCs w:val="18"/>
        </w:rPr>
        <w:t>[</w:t>
      </w:r>
      <w:r>
        <w:rPr>
          <w:rFonts w:ascii="Titillium" w:hAnsi="Titillium" w:cs="Arial"/>
          <w:b/>
          <w:bCs/>
          <w:i/>
          <w:sz w:val="18"/>
          <w:szCs w:val="18"/>
        </w:rPr>
        <w:t>P</w:t>
      </w:r>
      <w:r w:rsidRPr="00243A6C">
        <w:rPr>
          <w:rFonts w:ascii="Titillium" w:hAnsi="Titillium" w:cs="Arial"/>
          <w:b/>
          <w:bCs/>
          <w:i/>
          <w:sz w:val="18"/>
          <w:szCs w:val="18"/>
        </w:rPr>
        <w:t xml:space="preserve">er le procedure di gara </w:t>
      </w:r>
      <w:r w:rsidRPr="00922227">
        <w:rPr>
          <w:rFonts w:ascii="Titillium" w:hAnsi="Titillium" w:cs="Arial"/>
          <w:b/>
          <w:bCs/>
          <w:i/>
          <w:sz w:val="18"/>
          <w:szCs w:val="18"/>
        </w:rPr>
        <w:t>riservate ai sensi dell’articolo 61 del codice e</w:t>
      </w:r>
      <w:r>
        <w:rPr>
          <w:rFonts w:ascii="Titillium" w:hAnsi="Titillium" w:cs="Arial"/>
          <w:b/>
          <w:bCs/>
          <w:i/>
          <w:sz w:val="18"/>
          <w:szCs w:val="18"/>
        </w:rPr>
        <w:t>/o</w:t>
      </w:r>
      <w:r w:rsidRPr="00922227">
        <w:rPr>
          <w:rFonts w:ascii="Titillium" w:hAnsi="Titillium" w:cs="Arial"/>
          <w:b/>
          <w:bCs/>
          <w:i/>
          <w:sz w:val="18"/>
          <w:szCs w:val="18"/>
        </w:rPr>
        <w:t xml:space="preserve"> per quelle </w:t>
      </w:r>
      <w:r w:rsidRPr="00243A6C">
        <w:rPr>
          <w:rFonts w:ascii="Titillium" w:hAnsi="Titillium" w:cs="Arial"/>
          <w:b/>
          <w:bCs/>
          <w:i/>
          <w:sz w:val="18"/>
          <w:szCs w:val="18"/>
        </w:rPr>
        <w:t xml:space="preserve">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243A6C">
        <w:rPr>
          <w:rFonts w:ascii="Titillium" w:hAnsi="Titillium" w:cs="Courier New"/>
          <w:b/>
          <w:i/>
          <w:sz w:val="18"/>
          <w:szCs w:val="18"/>
        </w:rPr>
        <w:t>decreto legge 31 maggio 2021, n. 77, convertito, con modificazioni, dalla legge 29 luglio 2021, n. 108</w:t>
      </w:r>
      <w:r w:rsidRPr="00243A6C">
        <w:rPr>
          <w:rFonts w:ascii="Titillium" w:hAnsi="Titillium" w:cs="Arial"/>
          <w:b/>
          <w:bCs/>
          <w:i/>
          <w:sz w:val="18"/>
          <w:szCs w:val="18"/>
        </w:rPr>
        <w:t>]</w:t>
      </w:r>
    </w:p>
    <w:p w14:paraId="3558787C" w14:textId="77777777" w:rsidR="00276DF7" w:rsidRPr="00432F75" w:rsidRDefault="00276DF7" w:rsidP="00276DF7">
      <w:pPr>
        <w:pStyle w:val="Paragrafoelenco"/>
        <w:numPr>
          <w:ilvl w:val="0"/>
          <w:numId w:val="16"/>
        </w:numPr>
        <w:shd w:val="clear" w:color="auto" w:fill="F2F2F2" w:themeFill="background1" w:themeFillShade="F2"/>
        <w:rPr>
          <w:rFonts w:ascii="Titillium" w:hAnsi="Titillium"/>
          <w:sz w:val="18"/>
          <w:szCs w:val="18"/>
          <w:shd w:val="clear" w:color="auto" w:fill="FFFFFF"/>
        </w:rPr>
      </w:pPr>
      <w:r w:rsidRPr="00432F75">
        <w:rPr>
          <w:rFonts w:ascii="Titillium" w:hAnsi="Titillium" w:cs="Calibri"/>
          <w:sz w:val="18"/>
          <w:szCs w:val="18"/>
        </w:rPr>
        <w:lastRenderedPageBreak/>
        <w:t>Per gli operatori economici che occupano oltre cinquanta dipendenti:</w:t>
      </w:r>
      <w:r>
        <w:rPr>
          <w:rFonts w:ascii="Titillium" w:hAnsi="Titillium" w:cs="Calibri"/>
          <w:sz w:val="18"/>
          <w:szCs w:val="18"/>
        </w:rPr>
        <w:t xml:space="preserve"> </w:t>
      </w:r>
      <w:r w:rsidRPr="00432F75">
        <w:rPr>
          <w:rFonts w:ascii="Titillium" w:hAnsi="Titillium" w:cs="Calibri"/>
          <w:sz w:val="18"/>
          <w:szCs w:val="18"/>
        </w:rPr>
        <w:t xml:space="preserve">copia dell'ultimo rapporto periodico sulla situazione del personale </w:t>
      </w:r>
      <w:r w:rsidRPr="00432F75">
        <w:rPr>
          <w:rFonts w:ascii="Titillium" w:hAnsi="Titillium" w:cs="Courier New"/>
          <w:sz w:val="18"/>
          <w:szCs w:val="18"/>
        </w:rPr>
        <w:t xml:space="preserve">maschile e femminile redatto ai sensi dell’articolo 46 del </w:t>
      </w:r>
      <w:r>
        <w:rPr>
          <w:rFonts w:ascii="Titillium" w:hAnsi="Titillium" w:cs="Courier New"/>
          <w:sz w:val="18"/>
          <w:szCs w:val="18"/>
        </w:rPr>
        <w:t>decreto legislativo n.</w:t>
      </w:r>
      <w:r w:rsidRPr="00432F75">
        <w:rPr>
          <w:rFonts w:ascii="Titillium" w:hAnsi="Titillium" w:cs="Courier New"/>
          <w:sz w:val="18"/>
          <w:szCs w:val="18"/>
        </w:rPr>
        <w:t xml:space="preserve"> 198/2006,</w:t>
      </w:r>
      <w:r w:rsidRPr="00432F75">
        <w:rPr>
          <w:rFonts w:ascii="Titillium" w:hAnsi="Titillium" w:cs="Calibri"/>
          <w:sz w:val="18"/>
          <w:szCs w:val="18"/>
        </w:rPr>
        <w:t xml:space="preserve">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p>
    <w:p w14:paraId="1E13035E" w14:textId="77777777" w:rsidR="00276DF7" w:rsidRDefault="00276DF7" w:rsidP="00276DF7">
      <w:pPr>
        <w:pStyle w:val="Titolo3"/>
        <w:numPr>
          <w:ilvl w:val="1"/>
          <w:numId w:val="4"/>
        </w:numPr>
        <w:shd w:val="clear" w:color="auto" w:fill="F2F2F2" w:themeFill="background1" w:themeFillShade="F2"/>
        <w:ind w:left="426" w:hanging="426"/>
      </w:pPr>
      <w:bookmarkStart w:id="1818" w:name="_Toc497728162"/>
      <w:bookmarkStart w:id="1819" w:name="_Toc497484964"/>
      <w:bookmarkStart w:id="1820" w:name="_Toc498419754"/>
      <w:bookmarkStart w:id="1821" w:name="_Toc497831556"/>
      <w:bookmarkStart w:id="1822" w:name="_Toc497728161"/>
      <w:bookmarkStart w:id="1823" w:name="_Toc497484963"/>
      <w:bookmarkStart w:id="1824" w:name="_Toc498419755"/>
      <w:bookmarkStart w:id="1825" w:name="_Toc497831557"/>
      <w:bookmarkEnd w:id="1818"/>
      <w:bookmarkEnd w:id="1819"/>
      <w:bookmarkEnd w:id="1820"/>
      <w:bookmarkEnd w:id="1821"/>
      <w:bookmarkEnd w:id="1822"/>
      <w:bookmarkEnd w:id="1823"/>
      <w:bookmarkEnd w:id="1824"/>
      <w:bookmarkEnd w:id="1825"/>
      <w:r>
        <w:rPr>
          <w:rFonts w:ascii="Titillium" w:hAnsi="Titillium"/>
          <w:sz w:val="18"/>
          <w:szCs w:val="18"/>
          <w:lang w:val="it-IT"/>
        </w:rPr>
        <w:t xml:space="preserve"> </w:t>
      </w:r>
      <w:bookmarkStart w:id="1826" w:name="_Ref129785861"/>
      <w:bookmarkStart w:id="1827" w:name="_Ref129789908"/>
      <w:bookmarkStart w:id="1828" w:name="_Toc139549438"/>
      <w:r>
        <w:rPr>
          <w:rFonts w:ascii="Titillium" w:hAnsi="Titillium"/>
          <w:caps w:val="0"/>
          <w:sz w:val="18"/>
          <w:szCs w:val="18"/>
          <w:lang w:val="it-IT"/>
        </w:rPr>
        <w:t>DOMANDA DI PARTECIPAZIONE ED EVENTUALE PROCURA</w:t>
      </w:r>
      <w:bookmarkEnd w:id="1826"/>
      <w:bookmarkEnd w:id="1827"/>
      <w:bookmarkEnd w:id="1828"/>
      <w:r>
        <w:rPr>
          <w:rFonts w:ascii="Titillium" w:hAnsi="Titillium"/>
          <w:caps w:val="0"/>
          <w:sz w:val="18"/>
          <w:szCs w:val="18"/>
          <w:lang w:val="it-IT"/>
        </w:rPr>
        <w:t xml:space="preserve"> </w:t>
      </w:r>
    </w:p>
    <w:p w14:paraId="5A74EA37" w14:textId="77777777" w:rsidR="00276DF7" w:rsidRPr="00DA0D73" w:rsidRDefault="00276DF7" w:rsidP="00276DF7">
      <w:pPr>
        <w:shd w:val="clear" w:color="auto" w:fill="F2F2F2" w:themeFill="background1" w:themeFillShade="F2"/>
        <w:spacing w:before="60" w:after="60"/>
        <w:rPr>
          <w:rFonts w:ascii="Titillium" w:hAnsi="Titillium" w:cs="Calibri"/>
          <w:iCs/>
          <w:sz w:val="18"/>
          <w:szCs w:val="18"/>
          <w:highlight w:val="cyan"/>
        </w:rPr>
      </w:pPr>
      <w:r>
        <w:rPr>
          <w:rFonts w:ascii="Titillium" w:hAnsi="Titillium" w:cs="Calibri"/>
          <w:sz w:val="18"/>
          <w:szCs w:val="18"/>
        </w:rPr>
        <w:t xml:space="preserve">La domanda di partecipazione </w:t>
      </w:r>
      <w:r w:rsidRPr="00480CC4">
        <w:rPr>
          <w:rFonts w:ascii="Titillium" w:hAnsi="Titillium" w:cs="Calibri"/>
          <w:sz w:val="18"/>
          <w:szCs w:val="18"/>
        </w:rPr>
        <w:t>è redatta secondo il modello di cui all’allegato n. ….</w:t>
      </w:r>
      <w:r w:rsidRPr="00480CC4">
        <w:rPr>
          <w:rFonts w:ascii="Titillium" w:hAnsi="Titillium" w:cs="Calibri"/>
          <w:i/>
          <w:sz w:val="18"/>
          <w:szCs w:val="18"/>
        </w:rPr>
        <w:t xml:space="preserve"> [inserire] [</w:t>
      </w:r>
      <w:r w:rsidRPr="00480CC4">
        <w:rPr>
          <w:rFonts w:ascii="Titillium" w:hAnsi="Titillium" w:cs="Calibri"/>
          <w:b/>
          <w:i/>
          <w:sz w:val="18"/>
          <w:szCs w:val="18"/>
        </w:rPr>
        <w:t>o in alternativa</w:t>
      </w:r>
      <w:r>
        <w:rPr>
          <w:rFonts w:ascii="Titillium" w:hAnsi="Titillium" w:cs="Calibri"/>
          <w:b/>
          <w:i/>
          <w:sz w:val="18"/>
          <w:szCs w:val="18"/>
        </w:rPr>
        <w:t>]</w:t>
      </w:r>
      <w:r w:rsidRPr="00480CC4">
        <w:rPr>
          <w:rFonts w:ascii="Titillium" w:hAnsi="Titillium" w:cs="Calibri"/>
          <w:i/>
          <w:sz w:val="18"/>
          <w:szCs w:val="18"/>
        </w:rPr>
        <w:t xml:space="preserve"> è </w:t>
      </w:r>
      <w:r w:rsidRPr="00DA0D73">
        <w:rPr>
          <w:rFonts w:ascii="Titillium" w:hAnsi="Titillium" w:cs="Calibri"/>
          <w:iCs/>
          <w:sz w:val="18"/>
          <w:szCs w:val="18"/>
        </w:rPr>
        <w:t>compilata online sulla Piattaforma.</w:t>
      </w:r>
    </w:p>
    <w:p w14:paraId="524A1B3E" w14:textId="77777777" w:rsidR="00276DF7" w:rsidRPr="00CF5BC6" w:rsidRDefault="00276DF7" w:rsidP="00276DF7">
      <w:pPr>
        <w:shd w:val="clear" w:color="auto" w:fill="F2F2F2" w:themeFill="background1" w:themeFillShade="F2"/>
        <w:spacing w:before="60" w:after="60"/>
        <w:rPr>
          <w:rFonts w:ascii="Titillium" w:hAnsi="Titillium" w:cs="Calibri"/>
          <w:sz w:val="18"/>
          <w:szCs w:val="18"/>
        </w:rPr>
      </w:pPr>
      <w:r w:rsidRPr="00E16A9E">
        <w:rPr>
          <w:rFonts w:ascii="Titillium" w:hAnsi="Titillium" w:cs="Calibri"/>
          <w:sz w:val="18"/>
          <w:szCs w:val="18"/>
        </w:rPr>
        <w:t xml:space="preserve">Le dichiarazioni in ordine all’insussistenza delle cause automatiche di esclusione di cui all’articolo 94 commi 1 e 2 del </w:t>
      </w:r>
      <w:r>
        <w:rPr>
          <w:rFonts w:ascii="Titillium" w:hAnsi="Titillium" w:cs="Calibri"/>
          <w:sz w:val="18"/>
          <w:szCs w:val="18"/>
        </w:rPr>
        <w:t>C</w:t>
      </w:r>
      <w:r w:rsidRPr="00E16A9E">
        <w:rPr>
          <w:rFonts w:ascii="Titillium" w:hAnsi="Titillium" w:cs="Calibri"/>
          <w:sz w:val="18"/>
          <w:szCs w:val="18"/>
        </w:rPr>
        <w:t>odice</w:t>
      </w:r>
      <w:r w:rsidRPr="00CF5BC6">
        <w:rPr>
          <w:rFonts w:ascii="Titillium" w:hAnsi="Titillium" w:cs="Calibri"/>
          <w:sz w:val="18"/>
          <w:szCs w:val="18"/>
        </w:rPr>
        <w:t xml:space="preserve"> sono rese</w:t>
      </w:r>
      <w:r>
        <w:rPr>
          <w:rFonts w:ascii="Titillium" w:hAnsi="Titillium" w:cs="Calibri"/>
          <w:sz w:val="18"/>
          <w:szCs w:val="18"/>
        </w:rPr>
        <w:t xml:space="preserve"> dall’operatore economico</w:t>
      </w:r>
      <w:r w:rsidRPr="00CF5BC6">
        <w:rPr>
          <w:rFonts w:ascii="Titillium" w:hAnsi="Titillium" w:cs="Calibri"/>
          <w:sz w:val="18"/>
          <w:szCs w:val="18"/>
        </w:rPr>
        <w:t xml:space="preserve"> in relazione a tutti i soggetti indicati al comma 3. </w:t>
      </w:r>
    </w:p>
    <w:p w14:paraId="0003FC82" w14:textId="77777777" w:rsidR="00276DF7" w:rsidRPr="00CF5BC6" w:rsidRDefault="00276DF7" w:rsidP="00276DF7">
      <w:pPr>
        <w:shd w:val="clear" w:color="auto" w:fill="F2F2F2" w:themeFill="background1" w:themeFillShade="F2"/>
        <w:spacing w:before="60" w:after="60"/>
        <w:rPr>
          <w:rFonts w:ascii="Titillium" w:hAnsi="Titillium" w:cs="Calibri"/>
          <w:sz w:val="18"/>
          <w:szCs w:val="18"/>
        </w:rPr>
      </w:pPr>
      <w:r w:rsidRPr="00CF5BC6">
        <w:rPr>
          <w:rFonts w:ascii="Titillium" w:hAnsi="Titillium" w:cs="Calibri"/>
          <w:sz w:val="18"/>
          <w:szCs w:val="18"/>
        </w:rPr>
        <w:t xml:space="preserve">Le dichiarazioni in ordine all’insussistenza delle cause non automatiche di esclusione di cui all’articolo 98, comma 4, lettere g) ed h) del </w:t>
      </w:r>
      <w:r>
        <w:rPr>
          <w:rFonts w:ascii="Titillium" w:hAnsi="Titillium" w:cs="Calibri"/>
          <w:sz w:val="18"/>
          <w:szCs w:val="18"/>
        </w:rPr>
        <w:t>C</w:t>
      </w:r>
      <w:r w:rsidRPr="00CF5BC6">
        <w:rPr>
          <w:rFonts w:ascii="Titillium" w:hAnsi="Titillium" w:cs="Calibri"/>
          <w:sz w:val="18"/>
          <w:szCs w:val="18"/>
        </w:rPr>
        <w:t xml:space="preserve">odice sono rese </w:t>
      </w:r>
      <w:r>
        <w:rPr>
          <w:rFonts w:ascii="Titillium" w:hAnsi="Titillium" w:cs="Calibri"/>
          <w:sz w:val="18"/>
          <w:szCs w:val="18"/>
        </w:rPr>
        <w:t xml:space="preserve">dall’operatore economico </w:t>
      </w:r>
      <w:r w:rsidRPr="00CF5BC6">
        <w:rPr>
          <w:rFonts w:ascii="Titillium" w:hAnsi="Titillium" w:cs="Calibri"/>
          <w:sz w:val="18"/>
          <w:szCs w:val="18"/>
        </w:rPr>
        <w:t>in relazione ai soggetti di cui al punto precedente.</w:t>
      </w:r>
    </w:p>
    <w:p w14:paraId="33FAB8AE" w14:textId="77777777" w:rsidR="00276DF7" w:rsidRPr="00CF5BC6" w:rsidRDefault="00276DF7" w:rsidP="00276DF7">
      <w:pPr>
        <w:shd w:val="clear" w:color="auto" w:fill="F2F2F2" w:themeFill="background1" w:themeFillShade="F2"/>
        <w:spacing w:before="60" w:after="60"/>
        <w:rPr>
          <w:rFonts w:ascii="Titillium" w:hAnsi="Titillium" w:cs="Calibri"/>
          <w:sz w:val="18"/>
          <w:szCs w:val="18"/>
        </w:rPr>
      </w:pPr>
      <w:r w:rsidRPr="00CF5BC6">
        <w:rPr>
          <w:rFonts w:ascii="Titillium" w:hAnsi="Titillium" w:cs="Calibri"/>
          <w:sz w:val="18"/>
          <w:szCs w:val="18"/>
        </w:rPr>
        <w:t>Le dichiarazioni in ordine all’insussistenza delle altre cause di esclusione sono rese in relazione all’operatore economico.</w:t>
      </w:r>
    </w:p>
    <w:p w14:paraId="348BC08F" w14:textId="77777777" w:rsidR="00276DF7" w:rsidRPr="00CF5BC6" w:rsidRDefault="00276DF7" w:rsidP="00276DF7">
      <w:pPr>
        <w:shd w:val="clear" w:color="auto" w:fill="F2F2F2" w:themeFill="background1" w:themeFillShade="F2"/>
        <w:spacing w:before="60" w:after="60"/>
        <w:rPr>
          <w:rFonts w:ascii="Titillium" w:hAnsi="Titillium" w:cs="Calibri"/>
          <w:sz w:val="18"/>
          <w:szCs w:val="18"/>
        </w:rPr>
      </w:pPr>
      <w:r w:rsidRPr="00CF5BC6">
        <w:rPr>
          <w:rFonts w:ascii="Titillium" w:hAnsi="Titillium" w:cs="Calibri"/>
          <w:sz w:val="18"/>
          <w:szCs w:val="18"/>
        </w:rPr>
        <w:t xml:space="preserve">Con riferimento alle cause </w:t>
      </w:r>
      <w:r>
        <w:rPr>
          <w:rFonts w:ascii="Titillium" w:hAnsi="Titillium" w:cs="Calibri"/>
          <w:sz w:val="18"/>
          <w:szCs w:val="18"/>
        </w:rPr>
        <w:t>di esclusione</w:t>
      </w:r>
      <w:r w:rsidRPr="00CF5BC6">
        <w:rPr>
          <w:rFonts w:ascii="Titillium" w:hAnsi="Titillium" w:cs="Calibri"/>
          <w:sz w:val="18"/>
          <w:szCs w:val="18"/>
        </w:rPr>
        <w:t xml:space="preserve"> di cui all’articolo 95</w:t>
      </w:r>
      <w:r>
        <w:rPr>
          <w:rFonts w:ascii="Titillium" w:hAnsi="Titillium" w:cs="Calibri"/>
          <w:sz w:val="18"/>
          <w:szCs w:val="18"/>
        </w:rPr>
        <w:t xml:space="preserve"> del Codice</w:t>
      </w:r>
      <w:r w:rsidRPr="00CF5BC6">
        <w:rPr>
          <w:rFonts w:ascii="Titillium" w:hAnsi="Titillium" w:cs="Calibri"/>
          <w:sz w:val="18"/>
          <w:szCs w:val="18"/>
        </w:rPr>
        <w:t>, il concorrente dichiara:</w:t>
      </w:r>
    </w:p>
    <w:p w14:paraId="7066EAFA" w14:textId="77777777" w:rsidR="00276DF7" w:rsidRDefault="00276DF7" w:rsidP="00276DF7">
      <w:pPr>
        <w:pStyle w:val="Paragrafoelenco"/>
        <w:numPr>
          <w:ilvl w:val="0"/>
          <w:numId w:val="11"/>
        </w:numPr>
        <w:shd w:val="clear" w:color="auto" w:fill="F2F2F2" w:themeFill="background1" w:themeFillShade="F2"/>
        <w:spacing w:before="60" w:after="60"/>
        <w:rPr>
          <w:rFonts w:ascii="Titillium" w:hAnsi="Titillium" w:cs="Calibri"/>
          <w:sz w:val="18"/>
          <w:szCs w:val="18"/>
        </w:rPr>
      </w:pPr>
      <w:r w:rsidRPr="00CF5BC6">
        <w:rPr>
          <w:rFonts w:ascii="Titillium" w:hAnsi="Titillium" w:cs="Calibri"/>
          <w:sz w:val="18"/>
          <w:szCs w:val="18"/>
        </w:rPr>
        <w:t>le gravi infrazioni di cui all’articolo 95, comma 1</w:t>
      </w:r>
      <w:r>
        <w:rPr>
          <w:rFonts w:ascii="Titillium" w:hAnsi="Titillium" w:cs="Calibri"/>
          <w:sz w:val="18"/>
          <w:szCs w:val="18"/>
        </w:rPr>
        <w:t>,</w:t>
      </w:r>
      <w:r w:rsidRPr="00CF5BC6">
        <w:rPr>
          <w:rFonts w:ascii="Titillium" w:hAnsi="Titillium" w:cs="Calibri"/>
          <w:sz w:val="18"/>
          <w:szCs w:val="18"/>
        </w:rPr>
        <w:t xml:space="preserve"> lettera a) </w:t>
      </w:r>
      <w:r>
        <w:rPr>
          <w:rFonts w:ascii="Titillium" w:hAnsi="Titillium" w:cs="Calibri"/>
          <w:sz w:val="18"/>
          <w:szCs w:val="18"/>
        </w:rPr>
        <w:t xml:space="preserve">del Codice </w:t>
      </w:r>
      <w:r w:rsidRPr="00CF5BC6">
        <w:rPr>
          <w:rFonts w:ascii="Titillium" w:hAnsi="Titillium" w:cs="Calibri"/>
          <w:sz w:val="18"/>
          <w:szCs w:val="18"/>
        </w:rPr>
        <w:t xml:space="preserve">commesse nei tre anni antecedenti la data di pubblicazione del bando di gara; </w:t>
      </w:r>
    </w:p>
    <w:p w14:paraId="375163C8" w14:textId="77777777" w:rsidR="00276DF7" w:rsidRDefault="00276DF7" w:rsidP="00276DF7">
      <w:pPr>
        <w:pStyle w:val="Paragrafoelenco"/>
        <w:numPr>
          <w:ilvl w:val="0"/>
          <w:numId w:val="11"/>
        </w:num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gli atti e i provvedimenti indicati all’articolo 98 comma 6 del codice emessi </w:t>
      </w:r>
      <w:r w:rsidRPr="00CF5BC6">
        <w:rPr>
          <w:rFonts w:ascii="Titillium" w:hAnsi="Titillium" w:cs="Calibri"/>
          <w:sz w:val="18"/>
          <w:szCs w:val="18"/>
        </w:rPr>
        <w:t>nei tre anni antecedenti la data di pubblicazione del bando di gara</w:t>
      </w:r>
    </w:p>
    <w:p w14:paraId="486DC18D" w14:textId="77777777" w:rsidR="00276DF7" w:rsidRPr="00CF5BC6" w:rsidRDefault="00276DF7" w:rsidP="00276DF7">
      <w:pPr>
        <w:pStyle w:val="Paragrafoelenco"/>
        <w:numPr>
          <w:ilvl w:val="0"/>
          <w:numId w:val="11"/>
        </w:numPr>
        <w:shd w:val="clear" w:color="auto" w:fill="F2F2F2" w:themeFill="background1" w:themeFillShade="F2"/>
        <w:spacing w:before="60" w:after="60"/>
        <w:rPr>
          <w:rFonts w:ascii="Titillium" w:hAnsi="Titillium" w:cs="Calibri"/>
          <w:sz w:val="18"/>
          <w:szCs w:val="18"/>
        </w:rPr>
      </w:pPr>
      <w:r w:rsidRPr="00CF5BC6">
        <w:rPr>
          <w:rFonts w:ascii="Titillium" w:hAnsi="Titillium" w:cs="Calibri"/>
          <w:sz w:val="18"/>
          <w:szCs w:val="18"/>
        </w:rPr>
        <w:t>tutti gli altri comportamenti di cui all’articolo 98</w:t>
      </w:r>
      <w:r>
        <w:rPr>
          <w:rFonts w:ascii="Titillium" w:hAnsi="Titillium" w:cs="Calibri"/>
          <w:sz w:val="18"/>
          <w:szCs w:val="18"/>
        </w:rPr>
        <w:t xml:space="preserve"> del Codice</w:t>
      </w:r>
      <w:r w:rsidRPr="00CF5BC6">
        <w:rPr>
          <w:rFonts w:ascii="Titillium" w:hAnsi="Titillium" w:cs="Calibri"/>
          <w:sz w:val="18"/>
          <w:szCs w:val="18"/>
        </w:rPr>
        <w:t>, commessi nei tre anni antecedenti la data di pubblicazione del bando di gara.</w:t>
      </w:r>
    </w:p>
    <w:p w14:paraId="35A72C85" w14:textId="77777777" w:rsidR="00276DF7" w:rsidRPr="00CF5BC6" w:rsidRDefault="00276DF7" w:rsidP="00276DF7">
      <w:pPr>
        <w:shd w:val="clear" w:color="auto" w:fill="F2F2F2" w:themeFill="background1" w:themeFillShade="F2"/>
        <w:spacing w:before="60" w:after="60"/>
        <w:rPr>
          <w:rFonts w:ascii="Titillium" w:hAnsi="Titillium" w:cs="Calibri"/>
          <w:sz w:val="18"/>
          <w:szCs w:val="18"/>
        </w:rPr>
      </w:pPr>
      <w:r w:rsidRPr="00CF5BC6">
        <w:rPr>
          <w:rFonts w:ascii="Titillium" w:hAnsi="Titillium" w:cs="Calibri"/>
          <w:sz w:val="18"/>
          <w:szCs w:val="18"/>
        </w:rPr>
        <w:t>La dichiarazione di cui sopra deve essere resa anche nel caso di impugnazione in giudizio dei relativi provvedimenti.</w:t>
      </w:r>
    </w:p>
    <w:p w14:paraId="6963AC2D" w14:textId="77777777" w:rsidR="00276DF7" w:rsidRPr="00CF5BC6" w:rsidRDefault="00276DF7" w:rsidP="00276DF7">
      <w:pPr>
        <w:shd w:val="clear" w:color="auto" w:fill="F2F2F2" w:themeFill="background1" w:themeFillShade="F2"/>
        <w:spacing w:before="60" w:after="60"/>
        <w:rPr>
          <w:rFonts w:ascii="Titillium" w:hAnsi="Titillium" w:cs="Calibri"/>
          <w:sz w:val="18"/>
          <w:szCs w:val="18"/>
        </w:rPr>
      </w:pPr>
      <w:r w:rsidRPr="00CF5BC6">
        <w:rPr>
          <w:rFonts w:ascii="Titillium" w:hAnsi="Titillium" w:cs="Calibri"/>
          <w:sz w:val="18"/>
          <w:szCs w:val="18"/>
        </w:rPr>
        <w:t>L’operatore economico dichiara la sussistenza delle cause di esclusione che si sono verificate prima della presentazione dell’offerta e indica le misure di self-cleaning adottate, oppure dimostra l’impossibilità di adottare tali misure prima della presentazione dell’offerta.</w:t>
      </w:r>
    </w:p>
    <w:p w14:paraId="2FD12D97" w14:textId="77777777" w:rsidR="00276DF7" w:rsidRPr="00CF5BC6" w:rsidRDefault="00276DF7" w:rsidP="00276DF7">
      <w:pPr>
        <w:shd w:val="clear" w:color="auto" w:fill="F2F2F2" w:themeFill="background1" w:themeFillShade="F2"/>
        <w:spacing w:before="60" w:after="60"/>
        <w:rPr>
          <w:rFonts w:ascii="Titillium" w:hAnsi="Titillium" w:cs="Calibri"/>
          <w:sz w:val="18"/>
          <w:szCs w:val="18"/>
        </w:rPr>
      </w:pPr>
      <w:r w:rsidRPr="00CF5BC6">
        <w:rPr>
          <w:rFonts w:ascii="Titillium" w:hAnsi="Titillium" w:cs="Calibri"/>
          <w:sz w:val="18"/>
          <w:szCs w:val="18"/>
        </w:rPr>
        <w:t>L’operatore economico adotta le misure di self</w:t>
      </w:r>
      <w:r>
        <w:rPr>
          <w:rFonts w:ascii="Titillium" w:hAnsi="Titillium" w:cs="Calibri"/>
          <w:sz w:val="18"/>
          <w:szCs w:val="18"/>
        </w:rPr>
        <w:t>-</w:t>
      </w:r>
      <w:r w:rsidRPr="00CF5BC6">
        <w:rPr>
          <w:rFonts w:ascii="Titillium" w:hAnsi="Titillium" w:cs="Calibri"/>
          <w:sz w:val="18"/>
          <w:szCs w:val="18"/>
        </w:rPr>
        <w:t>cleaning che è stato impossibilitato ad adottare prima della presentazione dell’offerta e quelle relative a cause di esclusione che si sono verificate dopo tale momento.</w:t>
      </w:r>
    </w:p>
    <w:p w14:paraId="06CEBB46"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CF5BC6">
        <w:rPr>
          <w:rFonts w:ascii="Titillium" w:hAnsi="Titillium" w:cs="Calibri"/>
          <w:sz w:val="18"/>
          <w:szCs w:val="18"/>
        </w:rPr>
        <w:t xml:space="preserve">Se l’operatore economico omette di comunicare alla stazione appaltante la sussistenza dei fatti e dei provvedimenti che possono costituire una causa di esclusione ai sensi degli articoli 94 e 95 del </w:t>
      </w:r>
      <w:r>
        <w:rPr>
          <w:rFonts w:ascii="Titillium" w:hAnsi="Titillium" w:cs="Calibri"/>
          <w:sz w:val="18"/>
          <w:szCs w:val="18"/>
        </w:rPr>
        <w:t>C</w:t>
      </w:r>
      <w:r w:rsidRPr="00CF5BC6">
        <w:rPr>
          <w:rFonts w:ascii="Titillium" w:hAnsi="Titillium" w:cs="Calibri"/>
          <w:sz w:val="18"/>
          <w:szCs w:val="18"/>
        </w:rPr>
        <w:t>odice e detti fatti o provvedimenti non risultino nel FVOE, il triennio inizia a decorrere dalla data in cui la stazione appaltante ha acquisito gli stessi, anziché dalla commissione del fatto o dall’adozione del provvedimento.</w:t>
      </w:r>
    </w:p>
    <w:p w14:paraId="43F30F7F" w14:textId="77777777" w:rsidR="00276DF7" w:rsidRPr="008E0F05"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iCs/>
          <w:sz w:val="18"/>
          <w:szCs w:val="18"/>
        </w:rPr>
      </w:pPr>
      <w:r w:rsidRPr="008E0F05">
        <w:rPr>
          <w:rFonts w:ascii="Titillium" w:hAnsi="Titillium" w:cs="Calibri"/>
          <w:i/>
          <w:iCs/>
          <w:sz w:val="18"/>
          <w:szCs w:val="18"/>
        </w:rPr>
        <w:t xml:space="preserve">NB. Le cause di esclusione di cui agli articoli 95, comma 1, lettere b), c) e d) e 98, comma 4, lettera b) </w:t>
      </w:r>
      <w:r>
        <w:rPr>
          <w:rFonts w:ascii="Titillium" w:hAnsi="Titillium" w:cs="Calibri"/>
          <w:i/>
          <w:iCs/>
          <w:sz w:val="18"/>
          <w:szCs w:val="18"/>
        </w:rPr>
        <w:t xml:space="preserve">del Codice </w:t>
      </w:r>
      <w:r w:rsidRPr="008E0F05">
        <w:rPr>
          <w:rFonts w:ascii="Titillium" w:hAnsi="Titillium" w:cs="Calibri"/>
          <w:i/>
          <w:iCs/>
          <w:sz w:val="18"/>
          <w:szCs w:val="18"/>
        </w:rPr>
        <w:t>rilevano per la sola gara cui la condotta di riferisce. Pertanto, tali circostanze non devono essere dichiarate in occasione della partecipazione a gare successive e i relativi provvedimenti non sono inseriti nel FVOE.</w:t>
      </w:r>
    </w:p>
    <w:p w14:paraId="5EA65546" w14:textId="77777777" w:rsidR="00276DF7" w:rsidRPr="00CF5BC6" w:rsidRDefault="00276DF7" w:rsidP="00276DF7">
      <w:pPr>
        <w:shd w:val="clear" w:color="auto" w:fill="F2F2F2" w:themeFill="background1" w:themeFillShade="F2"/>
        <w:spacing w:before="60" w:after="60"/>
        <w:rPr>
          <w:rFonts w:ascii="Titillium" w:hAnsi="Titillium" w:cs="Calibri"/>
          <w:sz w:val="18"/>
          <w:szCs w:val="18"/>
        </w:rPr>
      </w:pPr>
    </w:p>
    <w:p w14:paraId="2E224BFA" w14:textId="77777777" w:rsidR="00276DF7" w:rsidRPr="00FC2E92" w:rsidRDefault="00276DF7" w:rsidP="00276DF7">
      <w:pPr>
        <w:shd w:val="clear" w:color="auto" w:fill="F2F2F2" w:themeFill="background1" w:themeFillShade="F2"/>
        <w:spacing w:before="60" w:after="60"/>
        <w:rPr>
          <w:rFonts w:ascii="Titillium" w:hAnsi="Titillium" w:cs="Calibri"/>
          <w:sz w:val="18"/>
          <w:szCs w:val="18"/>
        </w:rPr>
      </w:pPr>
      <w:r w:rsidRPr="00FC2E92">
        <w:rPr>
          <w:rFonts w:ascii="Titillium" w:hAnsi="Titillium" w:cs="Calibri"/>
          <w:b/>
          <w:i/>
          <w:sz w:val="18"/>
          <w:szCs w:val="18"/>
        </w:rPr>
        <w:t>[</w:t>
      </w:r>
      <w:bookmarkStart w:id="1829" w:name="_Hlk138144888"/>
      <w:r>
        <w:rPr>
          <w:rFonts w:ascii="Titillium" w:hAnsi="Titillium" w:cs="Calibri"/>
          <w:b/>
          <w:i/>
          <w:sz w:val="18"/>
          <w:szCs w:val="18"/>
        </w:rPr>
        <w:t>I</w:t>
      </w:r>
      <w:r w:rsidRPr="00FC2E92">
        <w:rPr>
          <w:rFonts w:ascii="Titillium" w:hAnsi="Titillium" w:cs="Calibri"/>
          <w:b/>
          <w:i/>
          <w:sz w:val="18"/>
          <w:szCs w:val="18"/>
        </w:rPr>
        <w:t>n caso di suddivisione della gara in lotti</w:t>
      </w:r>
      <w:bookmarkEnd w:id="1829"/>
      <w:r w:rsidRPr="00FC2E92">
        <w:rPr>
          <w:rFonts w:ascii="Titillium" w:hAnsi="Titillium" w:cs="Calibri"/>
          <w:b/>
          <w:i/>
          <w:sz w:val="18"/>
          <w:szCs w:val="18"/>
        </w:rPr>
        <w:t>]</w:t>
      </w:r>
      <w:r w:rsidRPr="00FC2E92">
        <w:rPr>
          <w:rFonts w:ascii="Titillium" w:hAnsi="Titillium" w:cs="Calibri"/>
          <w:i/>
          <w:sz w:val="18"/>
          <w:szCs w:val="18"/>
        </w:rPr>
        <w:t xml:space="preserve"> </w:t>
      </w:r>
      <w:r w:rsidRPr="00FC2E92">
        <w:rPr>
          <w:rFonts w:ascii="Titillium" w:hAnsi="Titillium" w:cs="Calibri"/>
          <w:sz w:val="18"/>
          <w:szCs w:val="18"/>
        </w:rPr>
        <w:t>Il concorrente indica nella domanda di partecipazione per quale lotto concorre.</w:t>
      </w:r>
    </w:p>
    <w:p w14:paraId="74C97EB9"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In caso di raggruppamento temporaneo, consorzio ordinario, aggregazione di retisti, GEIE, il concorrente fornisce i dati identificativi </w:t>
      </w:r>
      <w:r>
        <w:rPr>
          <w:rFonts w:ascii="Titillium" w:hAnsi="Titillium" w:cs="Calibri"/>
          <w:sz w:val="18"/>
          <w:szCs w:val="18"/>
          <w:lang w:eastAsia="it-IT"/>
        </w:rPr>
        <w:t>(ragione sociale, codice fiscale, sede)</w:t>
      </w:r>
      <w:r>
        <w:rPr>
          <w:rFonts w:ascii="Titillium" w:hAnsi="Titillium" w:cs="Calibri"/>
          <w:sz w:val="18"/>
          <w:szCs w:val="18"/>
        </w:rPr>
        <w:t xml:space="preserve"> e il ruolo</w:t>
      </w:r>
      <w:r>
        <w:rPr>
          <w:rFonts w:ascii="Titillium" w:hAnsi="Titillium" w:cs="Calibri"/>
          <w:sz w:val="18"/>
          <w:szCs w:val="18"/>
          <w:lang w:eastAsia="it-IT"/>
        </w:rPr>
        <w:t xml:space="preserve"> di ciascun partecipante.</w:t>
      </w:r>
    </w:p>
    <w:p w14:paraId="710F754B" w14:textId="77777777" w:rsidR="00276DF7" w:rsidRDefault="00276DF7" w:rsidP="00276DF7">
      <w:pPr>
        <w:shd w:val="clear" w:color="auto" w:fill="F2F2F2" w:themeFill="background1" w:themeFillShade="F2"/>
        <w:spacing w:before="60" w:after="60"/>
      </w:pPr>
      <w:r>
        <w:rPr>
          <w:rFonts w:ascii="Titillium" w:hAnsi="Titillium" w:cs="Arial"/>
          <w:sz w:val="18"/>
          <w:szCs w:val="18"/>
        </w:rPr>
        <w:t>In</w:t>
      </w:r>
      <w:r>
        <w:rPr>
          <w:rFonts w:ascii="Titillium" w:hAnsi="Titillium" w:cs="Calibri"/>
          <w:sz w:val="18"/>
          <w:szCs w:val="18"/>
          <w:lang w:eastAsia="it-IT"/>
        </w:rPr>
        <w:t xml:space="preserve"> caso di consorzio di cooperative, consorzio imprese artigiane o di consorzio stabile di cui </w:t>
      </w:r>
      <w:r w:rsidRPr="000D2AC1">
        <w:rPr>
          <w:rFonts w:ascii="Titillium" w:hAnsi="Titillium" w:cs="Calibri"/>
          <w:sz w:val="18"/>
          <w:szCs w:val="18"/>
          <w:lang w:eastAsia="it-IT"/>
        </w:rPr>
        <w:t>all’articolo 65, comma 2</w:t>
      </w:r>
      <w:r>
        <w:rPr>
          <w:rFonts w:ascii="Titillium" w:hAnsi="Titillium" w:cs="Calibri"/>
          <w:sz w:val="18"/>
          <w:szCs w:val="18"/>
          <w:lang w:eastAsia="it-IT"/>
        </w:rPr>
        <w:t>,</w:t>
      </w:r>
      <w:r w:rsidRPr="000D2AC1">
        <w:rPr>
          <w:rFonts w:ascii="Titillium" w:hAnsi="Titillium" w:cs="Calibri"/>
          <w:sz w:val="18"/>
          <w:szCs w:val="18"/>
          <w:lang w:eastAsia="it-IT"/>
        </w:rPr>
        <w:t xml:space="preserve"> lettera b), c), d) del Codice, il consorzio indica il consorziato per il quale concorre alla gara</w:t>
      </w:r>
      <w:r>
        <w:rPr>
          <w:rFonts w:ascii="Titillium" w:hAnsi="Titillium" w:cs="Calibri"/>
          <w:sz w:val="18"/>
          <w:szCs w:val="18"/>
          <w:lang w:eastAsia="it-IT"/>
        </w:rPr>
        <w:t>.</w:t>
      </w:r>
    </w:p>
    <w:p w14:paraId="7913A246" w14:textId="77777777" w:rsidR="00276DF7" w:rsidRDefault="00276DF7" w:rsidP="00276DF7">
      <w:pPr>
        <w:shd w:val="clear" w:color="auto" w:fill="F2F2F2" w:themeFill="background1" w:themeFillShade="F2"/>
        <w:spacing w:before="60" w:after="60"/>
      </w:pPr>
      <w:bookmarkStart w:id="1830" w:name="_Toc4164233711"/>
      <w:bookmarkStart w:id="1831" w:name="_Toc4067541881"/>
      <w:bookmarkStart w:id="1832" w:name="_Toc4060583871"/>
      <w:bookmarkStart w:id="1833" w:name="_Toc4034712791"/>
      <w:bookmarkStart w:id="1834" w:name="_Toc3974228721"/>
      <w:bookmarkStart w:id="1835" w:name="_Toc3973468311"/>
      <w:bookmarkStart w:id="1836" w:name="_Toc3937069161"/>
      <w:bookmarkStart w:id="1837" w:name="_Toc3937008431"/>
      <w:bookmarkStart w:id="1838" w:name="_Toc3932831841"/>
      <w:bookmarkStart w:id="1839" w:name="_Toc3932726681"/>
      <w:bookmarkStart w:id="1840" w:name="_Toc3932726101"/>
      <w:bookmarkStart w:id="1841" w:name="_Toc3931878541"/>
      <w:bookmarkStart w:id="1842" w:name="_Toc3931121371"/>
      <w:bookmarkStart w:id="1843" w:name="_Toc3931105731"/>
      <w:bookmarkStart w:id="1844" w:name="_Toc3925775061"/>
      <w:bookmarkStart w:id="1845" w:name="_Toc3910360651"/>
      <w:bookmarkStart w:id="1846" w:name="_Toc3910359921"/>
      <w:bookmarkStart w:id="1847" w:name="_Toc3805018791"/>
      <w:bookmarkStart w:id="1848" w:name="_Toc609251781"/>
      <w:bookmarkStart w:id="1849" w:name="_Ref4984219821"/>
      <w:bookmarkStart w:id="1850" w:name="_Toc484688330"/>
      <w:bookmarkStart w:id="1851" w:name="_Toc484605461"/>
      <w:bookmarkStart w:id="1852" w:name="_Toc484605337"/>
      <w:bookmarkStart w:id="1853" w:name="_Toc484526617"/>
      <w:bookmarkStart w:id="1854" w:name="_Toc484449122"/>
      <w:bookmarkStart w:id="1855" w:name="_Toc484448998"/>
      <w:bookmarkStart w:id="1856" w:name="_Toc484448874"/>
      <w:bookmarkStart w:id="1857" w:name="_Toc484448751"/>
      <w:bookmarkStart w:id="1858" w:name="_Toc484448627"/>
      <w:bookmarkStart w:id="1859" w:name="_Toc484448503"/>
      <w:bookmarkStart w:id="1860" w:name="_Toc484448379"/>
      <w:bookmarkStart w:id="1861" w:name="_Toc484448255"/>
      <w:bookmarkStart w:id="1862" w:name="_Toc484448130"/>
      <w:bookmarkStart w:id="1863" w:name="_Toc484440471"/>
      <w:bookmarkStart w:id="1864" w:name="_Toc484440111"/>
      <w:bookmarkStart w:id="1865" w:name="_Toc484439987"/>
      <w:bookmarkStart w:id="1866" w:name="_Toc484439864"/>
      <w:bookmarkStart w:id="1867" w:name="_Toc484438944"/>
      <w:bookmarkStart w:id="1868" w:name="_Toc484438820"/>
      <w:bookmarkStart w:id="1869" w:name="_Toc484438696"/>
      <w:bookmarkStart w:id="1870" w:name="_Toc484429121"/>
      <w:bookmarkStart w:id="1871" w:name="_Toc484428951"/>
      <w:bookmarkStart w:id="1872" w:name="_Toc484097779"/>
      <w:bookmarkStart w:id="1873" w:name="_Toc484011705"/>
      <w:bookmarkStart w:id="1874" w:name="_Toc484011230"/>
      <w:bookmarkStart w:id="1875" w:name="_Toc484011108"/>
      <w:bookmarkStart w:id="1876" w:name="_Toc484010986"/>
      <w:bookmarkStart w:id="1877" w:name="_Toc484010862"/>
      <w:bookmarkStart w:id="1878" w:name="_Toc484010740"/>
      <w:bookmarkStart w:id="1879" w:name="_Toc483906990"/>
      <w:bookmarkStart w:id="1880" w:name="_Toc483571613"/>
      <w:bookmarkStart w:id="1881" w:name="_Toc483571492"/>
      <w:bookmarkStart w:id="1882" w:name="_Toc483474063"/>
      <w:bookmarkStart w:id="1883" w:name="_Toc483401266"/>
      <w:bookmarkStart w:id="1884" w:name="_Toc483325787"/>
      <w:bookmarkStart w:id="1885" w:name="_Toc483316484"/>
      <w:bookmarkStart w:id="1886" w:name="_Toc483316353"/>
      <w:bookmarkStart w:id="1887" w:name="_Toc483316221"/>
      <w:bookmarkStart w:id="1888" w:name="_Toc483316016"/>
      <w:bookmarkStart w:id="1889" w:name="_Toc483302395"/>
      <w:bookmarkStart w:id="1890" w:name="_Toc485218321"/>
      <w:bookmarkStart w:id="1891" w:name="_Toc484688885"/>
      <w:bookmarkStart w:id="1892" w:name="_Ref484611693"/>
      <w:bookmarkStart w:id="1893" w:name="_Ref484611690"/>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r w:rsidRPr="00C13CB4">
        <w:rPr>
          <w:rFonts w:ascii="Titillium" w:hAnsi="Titillium" w:cs="Calibri"/>
          <w:sz w:val="18"/>
          <w:szCs w:val="18"/>
          <w:lang w:eastAsia="it-IT"/>
        </w:rPr>
        <w:t>Nella domanda di partecipazione il concorrente dichiara:</w:t>
      </w:r>
    </w:p>
    <w:p w14:paraId="01454428" w14:textId="77777777" w:rsidR="00276DF7" w:rsidRDefault="00276DF7" w:rsidP="00276DF7">
      <w:pPr>
        <w:pStyle w:val="Paragrafoelenco"/>
        <w:numPr>
          <w:ilvl w:val="0"/>
          <w:numId w:val="25"/>
        </w:numPr>
        <w:shd w:val="clear" w:color="auto" w:fill="F2F2F2" w:themeFill="background1" w:themeFillShade="F2"/>
        <w:spacing w:before="60" w:after="60"/>
      </w:pPr>
      <w:r>
        <w:rPr>
          <w:rFonts w:ascii="Titillium" w:hAnsi="Titillium" w:cs="Calibri"/>
          <w:sz w:val="18"/>
          <w:szCs w:val="18"/>
        </w:rPr>
        <w:t xml:space="preserve">i dati identificativi (nome, cognome, data e luogo di nascita, codice fiscale, comune di residenza etc.) dei soggetti di cui </w:t>
      </w:r>
      <w:r w:rsidRPr="00CE5551">
        <w:rPr>
          <w:rFonts w:ascii="Titillium" w:hAnsi="Titillium" w:cs="Calibri"/>
          <w:sz w:val="18"/>
          <w:szCs w:val="18"/>
        </w:rPr>
        <w:t>all’articolo 94, comma 3</w:t>
      </w:r>
      <w:r>
        <w:rPr>
          <w:rFonts w:ascii="Titillium" w:hAnsi="Titillium" w:cs="Calibri"/>
          <w:sz w:val="18"/>
          <w:szCs w:val="18"/>
        </w:rPr>
        <w:t>,</w:t>
      </w:r>
      <w:r w:rsidRPr="00CE5551">
        <w:rPr>
          <w:rFonts w:ascii="Titillium" w:hAnsi="Titillium" w:cs="Calibri"/>
          <w:sz w:val="18"/>
          <w:szCs w:val="18"/>
        </w:rPr>
        <w:t xml:space="preserve"> del Codice,</w:t>
      </w:r>
      <w:r>
        <w:rPr>
          <w:rFonts w:ascii="Titillium" w:hAnsi="Titillium" w:cs="Calibri"/>
          <w:sz w:val="18"/>
          <w:szCs w:val="18"/>
        </w:rPr>
        <w:t xml:space="preserve"> ivi incluso l’amministratore di fatto, ove presente, ovvero indica la </w:t>
      </w:r>
      <w:r>
        <w:rPr>
          <w:rFonts w:ascii="Titillium" w:hAnsi="Titillium" w:cs="Calibri"/>
          <w:sz w:val="18"/>
          <w:szCs w:val="18"/>
        </w:rPr>
        <w:lastRenderedPageBreak/>
        <w:t>banca dati ufficiale o il pubblico registro da cui i medesimi possono essere ricavati in modo aggiornato alla data di presentazione dell’offerta;</w:t>
      </w:r>
    </w:p>
    <w:p w14:paraId="59545539" w14:textId="77777777" w:rsidR="00276DF7" w:rsidRPr="00CE5551" w:rsidRDefault="00276DF7" w:rsidP="00276DF7">
      <w:pPr>
        <w:pStyle w:val="Paragrafoelenco"/>
        <w:numPr>
          <w:ilvl w:val="0"/>
          <w:numId w:val="25"/>
        </w:numPr>
        <w:shd w:val="clear" w:color="auto" w:fill="F2F2F2" w:themeFill="background1" w:themeFillShade="F2"/>
        <w:spacing w:before="60" w:after="60"/>
      </w:pPr>
      <w:r w:rsidRPr="00CE5551">
        <w:rPr>
          <w:rFonts w:ascii="Titillium" w:hAnsi="Titillium" w:cs="Calibri"/>
          <w:sz w:val="18"/>
          <w:szCs w:val="18"/>
        </w:rPr>
        <w:t>di non partecipare alla medesima gara</w:t>
      </w:r>
      <w:r>
        <w:rPr>
          <w:rFonts w:ascii="Titillium" w:hAnsi="Titillium" w:cs="Calibri"/>
          <w:sz w:val="18"/>
          <w:szCs w:val="18"/>
        </w:rPr>
        <w:t xml:space="preserve"> contemporaneamente</w:t>
      </w:r>
      <w:r w:rsidRPr="00CE5551">
        <w:rPr>
          <w:rFonts w:ascii="Titillium" w:hAnsi="Titillium" w:cs="Calibri"/>
          <w:sz w:val="18"/>
          <w:szCs w:val="18"/>
        </w:rPr>
        <w:t xml:space="preserve"> in</w:t>
      </w:r>
      <w:r>
        <w:rPr>
          <w:rFonts w:ascii="Titillium" w:hAnsi="Titillium" w:cs="Calibri"/>
          <w:sz w:val="18"/>
          <w:szCs w:val="18"/>
        </w:rPr>
        <w:t xml:space="preserve"> forme diverse (individuale e associata; in più forme associate; in </w:t>
      </w:r>
      <w:r w:rsidRPr="00CE5551">
        <w:rPr>
          <w:rFonts w:ascii="Titillium" w:hAnsi="Titillium" w:cs="Calibri"/>
          <w:sz w:val="18"/>
          <w:szCs w:val="18"/>
        </w:rPr>
        <w:t xml:space="preserve">forma singola e </w:t>
      </w:r>
      <w:r>
        <w:rPr>
          <w:rFonts w:ascii="Titillium" w:hAnsi="Titillium" w:cs="Calibri"/>
          <w:sz w:val="18"/>
          <w:szCs w:val="18"/>
        </w:rPr>
        <w:t xml:space="preserve">quale consorziato esecutore di un consorzio; in forma singola e </w:t>
      </w:r>
      <w:r w:rsidRPr="00CE5551">
        <w:rPr>
          <w:rFonts w:ascii="Titillium" w:hAnsi="Titillium" w:cs="Calibri"/>
          <w:sz w:val="18"/>
          <w:szCs w:val="18"/>
        </w:rPr>
        <w:t>come ausiliaria di altro concorrente che sia ricorso all’avvalimento per migliorare la propria offerta</w:t>
      </w:r>
      <w:r>
        <w:rPr>
          <w:rFonts w:ascii="Titillium" w:hAnsi="Titillium" w:cs="Calibri"/>
          <w:sz w:val="18"/>
          <w:szCs w:val="18"/>
        </w:rPr>
        <w:t>)</w:t>
      </w:r>
      <w:r w:rsidRPr="00CE5551">
        <w:rPr>
          <w:rFonts w:ascii="Titillium" w:hAnsi="Titillium" w:cs="Calibri"/>
          <w:sz w:val="18"/>
          <w:szCs w:val="18"/>
        </w:rPr>
        <w:t xml:space="preserve">. Se l’operatore economico </w:t>
      </w:r>
      <w:r>
        <w:rPr>
          <w:rFonts w:ascii="Titillium" w:hAnsi="Titillium" w:cs="Calibri"/>
          <w:sz w:val="18"/>
          <w:szCs w:val="18"/>
        </w:rPr>
        <w:t xml:space="preserve">dichiara di </w:t>
      </w:r>
      <w:r w:rsidRPr="00CE5551">
        <w:rPr>
          <w:rFonts w:ascii="Titillium" w:hAnsi="Titillium" w:cs="Calibri"/>
          <w:sz w:val="18"/>
          <w:szCs w:val="18"/>
        </w:rPr>
        <w:t>partecipa</w:t>
      </w:r>
      <w:r>
        <w:rPr>
          <w:rFonts w:ascii="Titillium" w:hAnsi="Titillium" w:cs="Calibri"/>
          <w:sz w:val="18"/>
          <w:szCs w:val="18"/>
        </w:rPr>
        <w:t>re</w:t>
      </w:r>
      <w:r w:rsidRPr="00CE5551">
        <w:rPr>
          <w:rFonts w:ascii="Titillium" w:hAnsi="Titillium" w:cs="Calibri"/>
          <w:sz w:val="18"/>
          <w:szCs w:val="18"/>
        </w:rPr>
        <w:t xml:space="preserve"> in </w:t>
      </w:r>
      <w:r>
        <w:rPr>
          <w:rFonts w:ascii="Titillium" w:hAnsi="Titillium" w:cs="Calibri"/>
          <w:sz w:val="18"/>
          <w:szCs w:val="18"/>
        </w:rPr>
        <w:t>più di una forma,</w:t>
      </w:r>
      <w:r w:rsidRPr="00CE5551">
        <w:rPr>
          <w:rFonts w:ascii="Titillium" w:hAnsi="Titillium" w:cs="Calibri"/>
          <w:sz w:val="18"/>
          <w:szCs w:val="18"/>
        </w:rPr>
        <w:t xml:space="preserve"> allega la documentazione che dimostra che la circostanza non ha influito sulla gara, né è idonea a incidere sulla capacità di rispettare gli obblighi contrattuali</w:t>
      </w:r>
    </w:p>
    <w:p w14:paraId="1356495F" w14:textId="77777777" w:rsidR="00276DF7" w:rsidRPr="00521A1B" w:rsidRDefault="00276DF7" w:rsidP="00276DF7">
      <w:pPr>
        <w:pStyle w:val="Paragrafoelenco"/>
        <w:numPr>
          <w:ilvl w:val="0"/>
          <w:numId w:val="25"/>
        </w:numPr>
        <w:shd w:val="clear" w:color="auto" w:fill="F2F2F2" w:themeFill="background1" w:themeFillShade="F2"/>
        <w:spacing w:before="60" w:after="60"/>
      </w:pPr>
      <w:r>
        <w:rPr>
          <w:rFonts w:ascii="Titillium" w:hAnsi="Titillium"/>
          <w:sz w:val="18"/>
          <w:szCs w:val="18"/>
        </w:rPr>
        <w:t>di accettare, senza condizione o riserva alcuna, tutte le norme e disposizioni contenute nella documentazione gara</w:t>
      </w:r>
      <w:r>
        <w:rPr>
          <w:rFonts w:ascii="Titillium" w:hAnsi="Titillium" w:cs="Calibri"/>
          <w:sz w:val="18"/>
          <w:szCs w:val="18"/>
        </w:rPr>
        <w:t>;</w:t>
      </w:r>
    </w:p>
    <w:p w14:paraId="70498266" w14:textId="77777777" w:rsidR="00276DF7" w:rsidRPr="003B49E3" w:rsidRDefault="00276DF7" w:rsidP="00276DF7">
      <w:pPr>
        <w:shd w:val="clear" w:color="auto" w:fill="F2F2F2" w:themeFill="background1" w:themeFillShade="F2"/>
        <w:spacing w:before="60" w:after="60"/>
        <w:ind w:left="360"/>
        <w:rPr>
          <w:rFonts w:ascii="Titillium" w:hAnsi="Titillium" w:cs="Calibri"/>
          <w:sz w:val="18"/>
          <w:szCs w:val="18"/>
        </w:rPr>
      </w:pPr>
      <w:r>
        <w:rPr>
          <w:rFonts w:ascii="Titillium" w:hAnsi="Titillium"/>
          <w:b/>
          <w:i/>
          <w:sz w:val="18"/>
          <w:szCs w:val="18"/>
        </w:rPr>
        <w:t>[</w:t>
      </w:r>
      <w:r w:rsidRPr="003B49E3">
        <w:rPr>
          <w:rFonts w:ascii="Titillium" w:hAnsi="Titillium"/>
          <w:b/>
          <w:i/>
          <w:sz w:val="18"/>
          <w:szCs w:val="18"/>
        </w:rPr>
        <w:t xml:space="preserve">Se prevista </w:t>
      </w:r>
      <w:r>
        <w:rPr>
          <w:rFonts w:ascii="Titillium" w:hAnsi="Titillium"/>
          <w:b/>
          <w:i/>
          <w:sz w:val="18"/>
          <w:szCs w:val="18"/>
        </w:rPr>
        <w:t>le clausole</w:t>
      </w:r>
      <w:r w:rsidRPr="003B49E3">
        <w:rPr>
          <w:rFonts w:ascii="Titillium" w:hAnsi="Titillium"/>
          <w:b/>
          <w:i/>
          <w:sz w:val="18"/>
          <w:szCs w:val="18"/>
        </w:rPr>
        <w:t xml:space="preserve"> </w:t>
      </w:r>
      <w:r>
        <w:rPr>
          <w:rFonts w:ascii="Titillium" w:hAnsi="Titillium"/>
          <w:b/>
          <w:i/>
          <w:sz w:val="18"/>
          <w:szCs w:val="18"/>
        </w:rPr>
        <w:t>di cui all’articol</w:t>
      </w:r>
      <w:r w:rsidRPr="003B49E3">
        <w:rPr>
          <w:rFonts w:ascii="Titillium" w:hAnsi="Titillium"/>
          <w:b/>
          <w:i/>
          <w:sz w:val="18"/>
          <w:szCs w:val="18"/>
        </w:rPr>
        <w:t xml:space="preserve">o </w:t>
      </w:r>
      <w:r w:rsidRPr="003B49E3">
        <w:rPr>
          <w:rFonts w:ascii="Titillium" w:hAnsi="Titillium" w:cs="Calibri"/>
          <w:b/>
          <w:i/>
          <w:sz w:val="18"/>
          <w:szCs w:val="18"/>
        </w:rPr>
        <w:fldChar w:fldCharType="begin"/>
      </w:r>
      <w:r w:rsidRPr="003B49E3">
        <w:rPr>
          <w:rFonts w:ascii="Titillium" w:hAnsi="Titillium" w:cs="Calibri"/>
          <w:b/>
          <w:i/>
          <w:sz w:val="18"/>
          <w:szCs w:val="18"/>
        </w:rPr>
        <w:instrText xml:space="preserve"> REF _Ref132050689 \r \h  \* MERGEFORMAT </w:instrText>
      </w:r>
      <w:r w:rsidRPr="003B49E3">
        <w:rPr>
          <w:rFonts w:ascii="Titillium" w:hAnsi="Titillium" w:cs="Calibri"/>
          <w:b/>
          <w:i/>
          <w:sz w:val="18"/>
          <w:szCs w:val="18"/>
        </w:rPr>
      </w:r>
      <w:r w:rsidRPr="003B49E3">
        <w:rPr>
          <w:rFonts w:ascii="Titillium" w:hAnsi="Titillium" w:cs="Calibri"/>
          <w:b/>
          <w:i/>
          <w:sz w:val="18"/>
          <w:szCs w:val="18"/>
        </w:rPr>
        <w:fldChar w:fldCharType="separate"/>
      </w:r>
      <w:r w:rsidRPr="003B49E3">
        <w:rPr>
          <w:rFonts w:ascii="Titillium" w:hAnsi="Titillium" w:cs="Calibri"/>
          <w:b/>
          <w:i/>
          <w:sz w:val="18"/>
          <w:szCs w:val="18"/>
        </w:rPr>
        <w:t>9</w:t>
      </w:r>
      <w:r w:rsidRPr="003B49E3">
        <w:rPr>
          <w:rFonts w:ascii="Titillium" w:hAnsi="Titillium" w:cs="Calibri"/>
          <w:b/>
          <w:i/>
          <w:sz w:val="18"/>
          <w:szCs w:val="18"/>
        </w:rPr>
        <w:fldChar w:fldCharType="end"/>
      </w:r>
      <w:r w:rsidRPr="003B49E3">
        <w:rPr>
          <w:rFonts w:ascii="Titillium" w:hAnsi="Titillium"/>
          <w:b/>
          <w:i/>
          <w:sz w:val="18"/>
          <w:szCs w:val="18"/>
        </w:rPr>
        <w:t>. Non applicabile ai servizi di natura intellettuale ed alle forniture senza posa in opera]</w:t>
      </w:r>
    </w:p>
    <w:p w14:paraId="4F1C686F" w14:textId="77777777" w:rsidR="00276DF7" w:rsidRPr="00BB5F32" w:rsidRDefault="00276DF7" w:rsidP="00276DF7">
      <w:pPr>
        <w:pStyle w:val="Paragrafoelenco"/>
        <w:numPr>
          <w:ilvl w:val="0"/>
          <w:numId w:val="25"/>
        </w:num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di applicare il </w:t>
      </w:r>
      <w:r w:rsidRPr="00BB5F32">
        <w:rPr>
          <w:rFonts w:ascii="Titillium" w:hAnsi="Titillium" w:cs="Calibri"/>
          <w:sz w:val="18"/>
          <w:szCs w:val="18"/>
        </w:rPr>
        <w:t xml:space="preserve">CCNL </w:t>
      </w:r>
      <w:r>
        <w:rPr>
          <w:rFonts w:ascii="Titillium" w:hAnsi="Titillium" w:cs="Calibri"/>
          <w:sz w:val="18"/>
          <w:szCs w:val="18"/>
        </w:rPr>
        <w:t xml:space="preserve">indicato dalla stazione appaltante o altro CCNL equivalente, </w:t>
      </w:r>
      <w:r w:rsidRPr="00BB5F32">
        <w:rPr>
          <w:rFonts w:ascii="Titillium" w:hAnsi="Titillium" w:cs="Calibri"/>
          <w:sz w:val="18"/>
          <w:szCs w:val="18"/>
        </w:rPr>
        <w:t xml:space="preserve">con l’indicazione del relativo codice alfanumerico unico di cui all’articolo 16 quater del </w:t>
      </w:r>
      <w:r>
        <w:rPr>
          <w:rFonts w:ascii="Titillium" w:hAnsi="Titillium" w:cs="Calibri"/>
          <w:sz w:val="18"/>
          <w:szCs w:val="18"/>
        </w:rPr>
        <w:t>decreto legge</w:t>
      </w:r>
      <w:r w:rsidRPr="00BB5F32">
        <w:rPr>
          <w:rFonts w:ascii="Titillium" w:hAnsi="Titillium" w:cs="Calibri"/>
          <w:sz w:val="18"/>
          <w:szCs w:val="18"/>
        </w:rPr>
        <w:t xml:space="preserve"> 76/20;</w:t>
      </w:r>
    </w:p>
    <w:p w14:paraId="0FDF3B06" w14:textId="77777777" w:rsidR="00276DF7" w:rsidRPr="004E5603" w:rsidRDefault="00276DF7" w:rsidP="00276DF7">
      <w:pPr>
        <w:pStyle w:val="Paragrafoelenco"/>
        <w:widowControl w:val="0"/>
        <w:numPr>
          <w:ilvl w:val="0"/>
          <w:numId w:val="25"/>
        </w:numPr>
        <w:shd w:val="clear" w:color="auto" w:fill="F2F2F2" w:themeFill="background1" w:themeFillShade="F2"/>
        <w:spacing w:before="60" w:after="60"/>
        <w:rPr>
          <w:rFonts w:ascii="Titillium" w:hAnsi="Titillium" w:cs="Arial"/>
          <w:sz w:val="18"/>
          <w:szCs w:val="18"/>
        </w:rPr>
      </w:pPr>
      <w:r w:rsidRPr="003B49E3">
        <w:rPr>
          <w:rFonts w:ascii="Titillium" w:hAnsi="Titillium"/>
          <w:bCs/>
          <w:iCs/>
          <w:sz w:val="18"/>
          <w:szCs w:val="18"/>
        </w:rPr>
        <w:t>di</w:t>
      </w:r>
      <w:r w:rsidRPr="004E5603">
        <w:rPr>
          <w:rFonts w:ascii="Titillium" w:hAnsi="Titillium"/>
          <w:bCs/>
          <w:iCs/>
          <w:sz w:val="18"/>
          <w:szCs w:val="18"/>
        </w:rPr>
        <w:t xml:space="preserve"> garantire, </w:t>
      </w:r>
      <w:r w:rsidRPr="004E5603">
        <w:rPr>
          <w:rFonts w:ascii="Titillium" w:hAnsi="Titillium" w:cs="Calibri"/>
          <w:sz w:val="18"/>
          <w:szCs w:val="18"/>
        </w:rPr>
        <w:t xml:space="preserve">secondo quanto indicato all’articolo </w:t>
      </w:r>
      <w:r w:rsidRPr="004E5603">
        <w:rPr>
          <w:rFonts w:ascii="Titillium" w:hAnsi="Titillium" w:cs="Calibri"/>
          <w:sz w:val="18"/>
          <w:szCs w:val="18"/>
        </w:rPr>
        <w:fldChar w:fldCharType="begin"/>
      </w:r>
      <w:r w:rsidRPr="004E5603">
        <w:rPr>
          <w:rFonts w:ascii="Titillium" w:hAnsi="Titillium" w:cs="Calibri"/>
          <w:sz w:val="18"/>
          <w:szCs w:val="18"/>
        </w:rPr>
        <w:instrText xml:space="preserve"> REF _Ref132050689 \r \h  \* MERGEFORMAT </w:instrText>
      </w:r>
      <w:r w:rsidRPr="004E5603">
        <w:rPr>
          <w:rFonts w:ascii="Titillium" w:hAnsi="Titillium" w:cs="Calibri"/>
          <w:sz w:val="18"/>
          <w:szCs w:val="18"/>
        </w:rPr>
      </w:r>
      <w:r w:rsidRPr="004E5603">
        <w:rPr>
          <w:rFonts w:ascii="Titillium" w:hAnsi="Titillium" w:cs="Calibri"/>
          <w:sz w:val="18"/>
          <w:szCs w:val="18"/>
        </w:rPr>
        <w:fldChar w:fldCharType="separate"/>
      </w:r>
      <w:r>
        <w:rPr>
          <w:rFonts w:ascii="Titillium" w:hAnsi="Titillium" w:cs="Calibri"/>
          <w:sz w:val="18"/>
          <w:szCs w:val="18"/>
        </w:rPr>
        <w:t>9</w:t>
      </w:r>
      <w:r w:rsidRPr="004E5603">
        <w:rPr>
          <w:rFonts w:ascii="Titillium" w:hAnsi="Titillium" w:cs="Calibri"/>
          <w:sz w:val="18"/>
          <w:szCs w:val="18"/>
        </w:rPr>
        <w:fldChar w:fldCharType="end"/>
      </w:r>
      <w:r w:rsidRPr="004E5603">
        <w:rPr>
          <w:rFonts w:ascii="Titillium" w:hAnsi="Titillium" w:cs="Calibri"/>
          <w:sz w:val="18"/>
          <w:szCs w:val="18"/>
        </w:rPr>
        <w:t xml:space="preserve">, </w:t>
      </w:r>
      <w:r w:rsidRPr="004E5603">
        <w:rPr>
          <w:rFonts w:ascii="Titillium" w:hAnsi="Titillium"/>
          <w:bCs/>
          <w:iCs/>
          <w:sz w:val="18"/>
          <w:szCs w:val="18"/>
        </w:rPr>
        <w:t>la stabilità occupazionale del personale impiegato</w:t>
      </w:r>
      <w:r w:rsidRPr="004E5603">
        <w:rPr>
          <w:rFonts w:ascii="Titillium" w:hAnsi="Titillium"/>
          <w:bCs/>
          <w:i/>
          <w:sz w:val="18"/>
          <w:szCs w:val="18"/>
        </w:rPr>
        <w:t>;</w:t>
      </w:r>
    </w:p>
    <w:p w14:paraId="01E820B6" w14:textId="77777777" w:rsidR="00276DF7" w:rsidRPr="004E5603" w:rsidRDefault="00276DF7" w:rsidP="00276DF7">
      <w:pPr>
        <w:pStyle w:val="Paragrafoelenco"/>
        <w:numPr>
          <w:ilvl w:val="0"/>
          <w:numId w:val="25"/>
        </w:numPr>
        <w:shd w:val="clear" w:color="auto" w:fill="F2F2F2" w:themeFill="background1" w:themeFillShade="F2"/>
        <w:spacing w:before="60" w:after="60"/>
      </w:pPr>
      <w:r w:rsidRPr="004E5603">
        <w:rPr>
          <w:rFonts w:ascii="Titillium" w:hAnsi="Titillium"/>
          <w:bCs/>
          <w:iCs/>
          <w:sz w:val="18"/>
          <w:szCs w:val="18"/>
        </w:rPr>
        <w:t xml:space="preserve">di garantire, </w:t>
      </w:r>
      <w:r w:rsidRPr="004E5603">
        <w:rPr>
          <w:rFonts w:ascii="Titillium" w:hAnsi="Titillium" w:cs="Calibri"/>
          <w:sz w:val="18"/>
          <w:szCs w:val="18"/>
        </w:rPr>
        <w:t>secondo quanto indicato all’art</w:t>
      </w:r>
      <w:r>
        <w:rPr>
          <w:rFonts w:ascii="Titillium" w:hAnsi="Titillium" w:cs="Calibri"/>
          <w:sz w:val="18"/>
          <w:szCs w:val="18"/>
        </w:rPr>
        <w:t>icolo</w:t>
      </w:r>
      <w:r w:rsidRPr="004E5603">
        <w:rPr>
          <w:rFonts w:ascii="Titillium" w:hAnsi="Titillium" w:cs="Calibri"/>
          <w:sz w:val="18"/>
          <w:szCs w:val="18"/>
        </w:rPr>
        <w:t xml:space="preserve"> </w:t>
      </w:r>
      <w:r w:rsidRPr="004E5603">
        <w:rPr>
          <w:rFonts w:ascii="Titillium" w:hAnsi="Titillium" w:cs="Calibri"/>
          <w:sz w:val="18"/>
          <w:szCs w:val="18"/>
        </w:rPr>
        <w:fldChar w:fldCharType="begin"/>
      </w:r>
      <w:r w:rsidRPr="004E5603">
        <w:rPr>
          <w:rFonts w:ascii="Titillium" w:hAnsi="Titillium" w:cs="Calibri"/>
          <w:sz w:val="18"/>
          <w:szCs w:val="18"/>
        </w:rPr>
        <w:instrText xml:space="preserve"> REF _Ref132050689 \r \h  \* MERGEFORMAT </w:instrText>
      </w:r>
      <w:r w:rsidRPr="004E5603">
        <w:rPr>
          <w:rFonts w:ascii="Titillium" w:hAnsi="Titillium" w:cs="Calibri"/>
          <w:sz w:val="18"/>
          <w:szCs w:val="18"/>
        </w:rPr>
      </w:r>
      <w:r w:rsidRPr="004E5603">
        <w:rPr>
          <w:rFonts w:ascii="Titillium" w:hAnsi="Titillium" w:cs="Calibri"/>
          <w:sz w:val="18"/>
          <w:szCs w:val="18"/>
        </w:rPr>
        <w:fldChar w:fldCharType="separate"/>
      </w:r>
      <w:r>
        <w:rPr>
          <w:rFonts w:ascii="Titillium" w:hAnsi="Titillium" w:cs="Calibri"/>
          <w:sz w:val="18"/>
          <w:szCs w:val="18"/>
        </w:rPr>
        <w:t>9</w:t>
      </w:r>
      <w:r w:rsidRPr="004E5603">
        <w:rPr>
          <w:rFonts w:ascii="Titillium" w:hAnsi="Titillium" w:cs="Calibri"/>
          <w:sz w:val="18"/>
          <w:szCs w:val="18"/>
        </w:rPr>
        <w:fldChar w:fldCharType="end"/>
      </w:r>
      <w:r w:rsidRPr="004E5603">
        <w:rPr>
          <w:rFonts w:ascii="Titillium" w:hAnsi="Titillium" w:cs="Calibri"/>
          <w:sz w:val="18"/>
          <w:szCs w:val="18"/>
        </w:rPr>
        <w:t xml:space="preserve">,… </w:t>
      </w:r>
      <w:r w:rsidRPr="00860210">
        <w:rPr>
          <w:rFonts w:ascii="Titillium" w:hAnsi="Titillium" w:cs="Calibri"/>
          <w:i/>
          <w:iCs/>
          <w:sz w:val="18"/>
          <w:szCs w:val="18"/>
        </w:rPr>
        <w:t>[completare</w:t>
      </w:r>
      <w:r>
        <w:rPr>
          <w:rFonts w:ascii="Titillium" w:hAnsi="Titillium" w:cs="Calibri"/>
          <w:i/>
          <w:iCs/>
          <w:sz w:val="18"/>
          <w:szCs w:val="18"/>
        </w:rPr>
        <w:t xml:space="preserve"> in base a come è stata declinata la clausola</w:t>
      </w:r>
      <w:r w:rsidRPr="00860210">
        <w:rPr>
          <w:rFonts w:ascii="Titillium" w:hAnsi="Titillium" w:cs="Calibri"/>
          <w:i/>
          <w:iCs/>
          <w:sz w:val="18"/>
          <w:szCs w:val="18"/>
        </w:rPr>
        <w:t>].</w:t>
      </w:r>
    </w:p>
    <w:p w14:paraId="413B9D31" w14:textId="77777777" w:rsidR="00276DF7" w:rsidRDefault="00276DF7" w:rsidP="00276DF7">
      <w:pPr>
        <w:pStyle w:val="Paragrafoelenco"/>
        <w:numPr>
          <w:ilvl w:val="0"/>
          <w:numId w:val="25"/>
        </w:numPr>
        <w:shd w:val="clear" w:color="auto" w:fill="F2F2F2" w:themeFill="background1" w:themeFillShade="F2"/>
        <w:spacing w:before="60" w:after="60"/>
        <w:rPr>
          <w:rFonts w:ascii="Titillium" w:hAnsi="Titillium"/>
          <w:bCs/>
          <w:iCs/>
          <w:sz w:val="18"/>
          <w:szCs w:val="18"/>
        </w:rPr>
      </w:pPr>
      <w:r w:rsidRPr="00DB6ACC">
        <w:rPr>
          <w:rFonts w:ascii="Titillium" w:hAnsi="Titillium"/>
          <w:b/>
          <w:i/>
          <w:sz w:val="18"/>
          <w:szCs w:val="18"/>
        </w:rPr>
        <w:t xml:space="preserve">Se </w:t>
      </w:r>
      <w:r>
        <w:rPr>
          <w:rFonts w:ascii="Titillium" w:hAnsi="Titillium"/>
          <w:b/>
          <w:i/>
          <w:sz w:val="18"/>
          <w:szCs w:val="18"/>
        </w:rPr>
        <w:t>richiesti</w:t>
      </w:r>
      <w:r w:rsidRPr="00DB6ACC">
        <w:rPr>
          <w:rFonts w:ascii="Titillium" w:hAnsi="Titillium"/>
          <w:b/>
          <w:i/>
          <w:sz w:val="18"/>
          <w:szCs w:val="18"/>
        </w:rPr>
        <w:t xml:space="preserve"> requisiti particolari per l'esecuzione del contratto ai sensi dell’art</w:t>
      </w:r>
      <w:r>
        <w:rPr>
          <w:rFonts w:ascii="Titillium" w:hAnsi="Titillium"/>
          <w:b/>
          <w:i/>
          <w:sz w:val="18"/>
          <w:szCs w:val="18"/>
        </w:rPr>
        <w:t>icolo</w:t>
      </w:r>
      <w:r w:rsidRPr="00DB6ACC">
        <w:rPr>
          <w:rFonts w:ascii="Titillium" w:hAnsi="Titillium"/>
          <w:b/>
          <w:i/>
          <w:sz w:val="18"/>
          <w:szCs w:val="18"/>
        </w:rPr>
        <w:t xml:space="preserve"> 113 del Codice</w:t>
      </w:r>
      <w:r>
        <w:rPr>
          <w:rFonts w:ascii="Titillium" w:hAnsi="Titillium"/>
          <w:b/>
          <w:i/>
          <w:sz w:val="18"/>
          <w:szCs w:val="18"/>
        </w:rPr>
        <w:t xml:space="preserve">] </w:t>
      </w:r>
      <w:r w:rsidRPr="00DB6ACC">
        <w:rPr>
          <w:rFonts w:ascii="Titillium" w:hAnsi="Titillium"/>
          <w:bCs/>
          <w:iCs/>
          <w:sz w:val="18"/>
          <w:szCs w:val="18"/>
        </w:rPr>
        <w:t>di accettare</w:t>
      </w:r>
      <w:r>
        <w:rPr>
          <w:rFonts w:ascii="Titillium" w:hAnsi="Titillium"/>
          <w:bCs/>
          <w:iCs/>
          <w:sz w:val="18"/>
          <w:szCs w:val="18"/>
        </w:rPr>
        <w:t>, in caso di aggiudicazione,</w:t>
      </w:r>
      <w:r w:rsidRPr="00DB6ACC">
        <w:rPr>
          <w:rFonts w:ascii="Titillium" w:hAnsi="Titillium"/>
          <w:bCs/>
          <w:iCs/>
          <w:sz w:val="18"/>
          <w:szCs w:val="18"/>
        </w:rPr>
        <w:t xml:space="preserve"> </w:t>
      </w:r>
      <w:r>
        <w:rPr>
          <w:rFonts w:ascii="Titillium" w:hAnsi="Titillium"/>
          <w:bCs/>
          <w:iCs/>
          <w:sz w:val="18"/>
          <w:szCs w:val="18"/>
        </w:rPr>
        <w:t xml:space="preserve">i requisiti particolari indicati </w:t>
      </w:r>
      <w:r w:rsidRPr="004E5603">
        <w:rPr>
          <w:rFonts w:ascii="Titillium" w:hAnsi="Titillium" w:cs="Calibri"/>
          <w:sz w:val="18"/>
          <w:szCs w:val="18"/>
        </w:rPr>
        <w:t>all’art</w:t>
      </w:r>
      <w:r>
        <w:rPr>
          <w:rFonts w:ascii="Titillium" w:hAnsi="Titillium" w:cs="Calibri"/>
          <w:sz w:val="18"/>
          <w:szCs w:val="18"/>
        </w:rPr>
        <w:t>icolo</w:t>
      </w:r>
      <w:r w:rsidRPr="004E5603">
        <w:rPr>
          <w:rFonts w:ascii="Titillium" w:hAnsi="Titillium" w:cs="Calibri"/>
          <w:sz w:val="18"/>
          <w:szCs w:val="18"/>
        </w:rPr>
        <w:t xml:space="preserve"> </w:t>
      </w:r>
      <w:r w:rsidRPr="004E5603">
        <w:rPr>
          <w:rFonts w:ascii="Titillium" w:hAnsi="Titillium" w:cs="Calibri"/>
          <w:sz w:val="18"/>
          <w:szCs w:val="18"/>
        </w:rPr>
        <w:fldChar w:fldCharType="begin"/>
      </w:r>
      <w:r w:rsidRPr="004E5603">
        <w:rPr>
          <w:rFonts w:ascii="Titillium" w:hAnsi="Titillium" w:cs="Calibri"/>
          <w:sz w:val="18"/>
          <w:szCs w:val="18"/>
        </w:rPr>
        <w:instrText xml:space="preserve"> REF _Ref132050689 \r \h  \* MERGEFORMAT </w:instrText>
      </w:r>
      <w:r w:rsidRPr="004E5603">
        <w:rPr>
          <w:rFonts w:ascii="Titillium" w:hAnsi="Titillium" w:cs="Calibri"/>
          <w:sz w:val="18"/>
          <w:szCs w:val="18"/>
        </w:rPr>
      </w:r>
      <w:r w:rsidRPr="004E5603">
        <w:rPr>
          <w:rFonts w:ascii="Titillium" w:hAnsi="Titillium" w:cs="Calibri"/>
          <w:sz w:val="18"/>
          <w:szCs w:val="18"/>
        </w:rPr>
        <w:fldChar w:fldCharType="separate"/>
      </w:r>
      <w:r>
        <w:rPr>
          <w:rFonts w:ascii="Titillium" w:hAnsi="Titillium" w:cs="Calibri"/>
          <w:sz w:val="18"/>
          <w:szCs w:val="18"/>
        </w:rPr>
        <w:t>9</w:t>
      </w:r>
      <w:r w:rsidRPr="004E5603">
        <w:rPr>
          <w:rFonts w:ascii="Titillium" w:hAnsi="Titillium" w:cs="Calibri"/>
          <w:sz w:val="18"/>
          <w:szCs w:val="18"/>
        </w:rPr>
        <w:fldChar w:fldCharType="end"/>
      </w:r>
      <w:r>
        <w:rPr>
          <w:rFonts w:ascii="Titillium" w:hAnsi="Titillium"/>
          <w:bCs/>
          <w:iCs/>
          <w:sz w:val="18"/>
          <w:szCs w:val="18"/>
        </w:rPr>
        <w:t>;</w:t>
      </w:r>
    </w:p>
    <w:p w14:paraId="270A27B0" w14:textId="77777777" w:rsidR="00276DF7" w:rsidRPr="00715AD8" w:rsidRDefault="00276DF7" w:rsidP="00276DF7">
      <w:pPr>
        <w:pStyle w:val="Paragrafoelenco"/>
        <w:numPr>
          <w:ilvl w:val="0"/>
          <w:numId w:val="11"/>
        </w:numPr>
        <w:shd w:val="clear" w:color="auto" w:fill="F2F2F2" w:themeFill="background1" w:themeFillShade="F2"/>
        <w:spacing w:before="60" w:after="60" w:line="240" w:lineRule="auto"/>
        <w:rPr>
          <w:rFonts w:ascii="Titillium" w:hAnsi="Titillium"/>
          <w:sz w:val="18"/>
          <w:szCs w:val="18"/>
          <w:shd w:val="clear" w:color="auto" w:fill="FFFFFF"/>
        </w:rPr>
      </w:pPr>
      <w:r w:rsidRPr="00715AD8">
        <w:rPr>
          <w:rFonts w:ascii="Titillium" w:hAnsi="Titillium" w:cs="Arial"/>
          <w:b/>
          <w:bCs/>
          <w:i/>
          <w:sz w:val="18"/>
          <w:szCs w:val="18"/>
        </w:rPr>
        <w:t>[</w:t>
      </w:r>
      <w:r>
        <w:rPr>
          <w:rFonts w:ascii="Titillium" w:hAnsi="Titillium" w:cs="Arial"/>
          <w:b/>
          <w:bCs/>
          <w:i/>
          <w:sz w:val="18"/>
          <w:szCs w:val="18"/>
        </w:rPr>
        <w:t>P</w:t>
      </w:r>
      <w:r w:rsidRPr="00715AD8">
        <w:rPr>
          <w:rFonts w:ascii="Titillium" w:hAnsi="Titillium" w:cs="Arial"/>
          <w:b/>
          <w:bCs/>
          <w:i/>
          <w:sz w:val="18"/>
          <w:szCs w:val="18"/>
        </w:rPr>
        <w:t xml:space="preserve">er le procedure di gara </w:t>
      </w:r>
      <w:r w:rsidRPr="00922227">
        <w:rPr>
          <w:rFonts w:ascii="Titillium" w:hAnsi="Titillium" w:cs="Arial"/>
          <w:b/>
          <w:bCs/>
          <w:i/>
          <w:sz w:val="18"/>
          <w:szCs w:val="18"/>
        </w:rPr>
        <w:t>riservate ai sensi dell’articolo 61 del codice e</w:t>
      </w:r>
      <w:r>
        <w:rPr>
          <w:rFonts w:ascii="Titillium" w:hAnsi="Titillium" w:cs="Arial"/>
          <w:b/>
          <w:bCs/>
          <w:i/>
          <w:sz w:val="18"/>
          <w:szCs w:val="18"/>
        </w:rPr>
        <w:t>/o</w:t>
      </w:r>
      <w:r w:rsidRPr="00922227">
        <w:rPr>
          <w:rFonts w:ascii="Titillium" w:hAnsi="Titillium" w:cs="Arial"/>
          <w:b/>
          <w:bCs/>
          <w:i/>
          <w:sz w:val="18"/>
          <w:szCs w:val="18"/>
        </w:rPr>
        <w:t xml:space="preserve"> per quelle </w:t>
      </w:r>
      <w:r w:rsidRPr="00715AD8">
        <w:rPr>
          <w:rFonts w:ascii="Titillium" w:hAnsi="Titillium" w:cs="Arial"/>
          <w:b/>
          <w:bCs/>
          <w:i/>
          <w:sz w:val="18"/>
          <w:szCs w:val="18"/>
        </w:rPr>
        <w:t xml:space="preserve">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715AD8">
        <w:rPr>
          <w:rFonts w:ascii="Titillium" w:hAnsi="Titillium" w:cs="Courier New"/>
          <w:b/>
          <w:i/>
          <w:sz w:val="18"/>
          <w:szCs w:val="18"/>
        </w:rPr>
        <w:t>decreto legge 31 maggio 2021, n. 77, convertito, con modificazioni, dalla legge 29 luglio 2021, n. 108</w:t>
      </w:r>
      <w:r w:rsidRPr="00715AD8">
        <w:rPr>
          <w:rFonts w:ascii="Titillium" w:hAnsi="Titillium" w:cs="Arial"/>
          <w:b/>
          <w:bCs/>
          <w:i/>
          <w:sz w:val="18"/>
          <w:szCs w:val="18"/>
        </w:rPr>
        <w:t>]</w:t>
      </w:r>
    </w:p>
    <w:p w14:paraId="4BA14EF9" w14:textId="77777777" w:rsidR="00276DF7" w:rsidRPr="00771B26" w:rsidRDefault="00276DF7" w:rsidP="00276DF7">
      <w:pPr>
        <w:pStyle w:val="Paragrafoelenco"/>
        <w:numPr>
          <w:ilvl w:val="2"/>
          <w:numId w:val="55"/>
        </w:numPr>
        <w:shd w:val="clear" w:color="auto" w:fill="F2F2F2" w:themeFill="background1" w:themeFillShade="F2"/>
        <w:spacing w:before="120" w:after="120"/>
        <w:rPr>
          <w:rFonts w:ascii="Titillium" w:hAnsi="Titillium" w:cs="Arial"/>
          <w:sz w:val="18"/>
          <w:szCs w:val="18"/>
        </w:rPr>
      </w:pPr>
      <w:r w:rsidRPr="00771B26">
        <w:rPr>
          <w:rFonts w:ascii="Titillium" w:hAnsi="Titillium" w:cs="Arial"/>
          <w:sz w:val="18"/>
          <w:szCs w:val="18"/>
        </w:rPr>
        <w:t>Il numero di dipendenti impiegati alla data di presentazione della domanda;</w:t>
      </w:r>
    </w:p>
    <w:p w14:paraId="065F7D9A" w14:textId="77777777" w:rsidR="00276DF7" w:rsidRPr="00771B26" w:rsidRDefault="00276DF7" w:rsidP="00276DF7">
      <w:pPr>
        <w:pStyle w:val="Paragrafoelenco"/>
        <w:numPr>
          <w:ilvl w:val="2"/>
          <w:numId w:val="55"/>
        </w:numPr>
        <w:shd w:val="clear" w:color="auto" w:fill="F2F2F2" w:themeFill="background1" w:themeFillShade="F2"/>
        <w:spacing w:before="120" w:after="120"/>
        <w:rPr>
          <w:rFonts w:ascii="Titillium" w:hAnsi="Titillium" w:cs="Arial"/>
          <w:sz w:val="18"/>
          <w:szCs w:val="18"/>
        </w:rPr>
      </w:pPr>
      <w:r w:rsidRPr="00771B26">
        <w:rPr>
          <w:rFonts w:ascii="Titillium" w:hAnsi="Titillium" w:cs="Arial"/>
          <w:sz w:val="18"/>
          <w:szCs w:val="18"/>
        </w:rPr>
        <w:t>di aver assolto agli obblighi di cui alla legge n. 68/1999;</w:t>
      </w:r>
    </w:p>
    <w:p w14:paraId="186239F1" w14:textId="77777777" w:rsidR="00276DF7" w:rsidRPr="00771B26" w:rsidRDefault="00276DF7" w:rsidP="00276DF7">
      <w:pPr>
        <w:pStyle w:val="Paragrafoelenco"/>
        <w:numPr>
          <w:ilvl w:val="2"/>
          <w:numId w:val="55"/>
        </w:numPr>
        <w:shd w:val="clear" w:color="auto" w:fill="F2F2F2" w:themeFill="background1" w:themeFillShade="F2"/>
        <w:spacing w:before="120" w:after="120"/>
        <w:rPr>
          <w:rFonts w:ascii="Titillium" w:hAnsi="Titillium" w:cs="Arial"/>
          <w:sz w:val="18"/>
          <w:szCs w:val="18"/>
        </w:rPr>
      </w:pPr>
      <w:r w:rsidRPr="00771B26">
        <w:rPr>
          <w:rFonts w:ascii="Titillium" w:hAnsi="Titillium" w:cs="Arial"/>
          <w:sz w:val="18"/>
          <w:szCs w:val="18"/>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14:paraId="0B55807C" w14:textId="77777777" w:rsidR="00276DF7" w:rsidRDefault="00276DF7" w:rsidP="00276DF7">
      <w:pPr>
        <w:pStyle w:val="Paragrafoelenco"/>
        <w:widowControl w:val="0"/>
        <w:numPr>
          <w:ilvl w:val="2"/>
          <w:numId w:val="55"/>
        </w:numPr>
        <w:shd w:val="clear" w:color="auto" w:fill="F2F2F2" w:themeFill="background1" w:themeFillShade="F2"/>
        <w:spacing w:before="60" w:after="60"/>
        <w:rPr>
          <w:rFonts w:ascii="Titillium" w:hAnsi="Titillium" w:cs="Arial"/>
          <w:sz w:val="18"/>
          <w:szCs w:val="18"/>
        </w:rPr>
      </w:pPr>
      <w:r w:rsidRPr="00CA5BC6">
        <w:rPr>
          <w:rFonts w:ascii="Titillium" w:hAnsi="Titillium" w:cs="Arial"/>
          <w:b/>
          <w:bCs/>
          <w:i/>
          <w:sz w:val="18"/>
          <w:szCs w:val="18"/>
        </w:rPr>
        <w:t>[nel caso in cui la stazione appaltante scelga di richiedere la presentazione di tale dichiarazione nella Domanda di partecipazione, anziché nell’Offerta tecnica]</w:t>
      </w:r>
      <w:r w:rsidRPr="00771B26">
        <w:rPr>
          <w:rFonts w:ascii="Titillium" w:hAnsi="Titillium" w:cs="Arial"/>
          <w:sz w:val="18"/>
          <w:szCs w:val="18"/>
        </w:rPr>
        <w:t xml:space="preserve"> di assumersi l’obbligo, in caso di aggiudicazione del contratto, di assicurare all’occupazione giovanile una quota di …. % </w:t>
      </w:r>
      <w:r w:rsidRPr="00860210">
        <w:rPr>
          <w:rFonts w:ascii="Titillium" w:hAnsi="Titillium" w:cs="Arial"/>
          <w:i/>
          <w:iCs/>
          <w:sz w:val="18"/>
          <w:szCs w:val="18"/>
        </w:rPr>
        <w:t>[indicare la quota pari o superiore al 30% indicata dalla stazione appaltante ovvero quella inferiore in caso di deroga, ai sensi dell’articolo 47, comma 7, decreto legge n. 77/2021]</w:t>
      </w:r>
      <w:r w:rsidRPr="00F16718">
        <w:rPr>
          <w:rFonts w:ascii="Titillium" w:hAnsi="Titillium" w:cs="Arial"/>
          <w:sz w:val="18"/>
          <w:szCs w:val="18"/>
        </w:rPr>
        <w:t xml:space="preserve"> e a quella femminile una quota di …. % </w:t>
      </w:r>
      <w:r w:rsidRPr="00860210">
        <w:rPr>
          <w:rFonts w:ascii="Titillium" w:hAnsi="Titillium" w:cs="Arial"/>
          <w:i/>
          <w:iCs/>
          <w:sz w:val="18"/>
          <w:szCs w:val="18"/>
        </w:rPr>
        <w:t>[indicare la quota pari o superiore al 30% indicata dalla stazione appaltante ovvero quella inferiore in caso di deroga, ai sensi dell’articolo 47, comma 7, decreto legge n. 77/2021</w:t>
      </w:r>
      <w:r w:rsidRPr="00F16718">
        <w:rPr>
          <w:rFonts w:ascii="Titillium" w:hAnsi="Titillium" w:cs="Arial"/>
          <w:sz w:val="18"/>
          <w:szCs w:val="18"/>
        </w:rPr>
        <w:t>] delle assunzioni necessarie per l'esecuzione del contratto o per la realizzazione di attività ad esso connesse o strumentali</w:t>
      </w:r>
      <w:r>
        <w:rPr>
          <w:rFonts w:ascii="Titillium" w:hAnsi="Titillium" w:cs="Arial"/>
          <w:sz w:val="18"/>
          <w:szCs w:val="18"/>
        </w:rPr>
        <w:t>.</w:t>
      </w:r>
      <w:r w:rsidRPr="00F16718">
        <w:rPr>
          <w:rFonts w:ascii="Titillium" w:hAnsi="Titillium" w:cs="Arial"/>
          <w:sz w:val="18"/>
          <w:szCs w:val="18"/>
        </w:rPr>
        <w:t>;</w:t>
      </w:r>
    </w:p>
    <w:p w14:paraId="6A2ED5C8" w14:textId="77777777" w:rsidR="00276DF7" w:rsidRDefault="00276DF7" w:rsidP="00276DF7">
      <w:pPr>
        <w:pStyle w:val="Paragrafoelenco"/>
        <w:numPr>
          <w:ilvl w:val="0"/>
          <w:numId w:val="25"/>
        </w:numPr>
        <w:shd w:val="clear" w:color="auto" w:fill="F2F2F2" w:themeFill="background1" w:themeFillShade="F2"/>
        <w:spacing w:before="60" w:after="60"/>
      </w:pPr>
      <w:r>
        <w:rPr>
          <w:rFonts w:ascii="Titillium" w:eastAsia="SimSun" w:hAnsi="Titillium"/>
          <w:b/>
          <w:i/>
          <w:sz w:val="18"/>
          <w:szCs w:val="18"/>
        </w:rPr>
        <w:t>[obbligatorio nel caso di acquisti rientranti nelle categorie espressamente individuate dal “Piano d’azione nazionale per la sostenibilità ambientale dei consumi della Pubblica Amministrazione”, facoltativo negli altri casi]</w:t>
      </w:r>
      <w:r>
        <w:rPr>
          <w:rFonts w:ascii="Titillium" w:hAnsi="Titillium"/>
          <w:sz w:val="18"/>
          <w:szCs w:val="18"/>
        </w:rPr>
        <w:t xml:space="preserve"> </w:t>
      </w:r>
      <w:r>
        <w:rPr>
          <w:rFonts w:ascii="Titillium" w:hAnsi="Titillium" w:cs="Calibri"/>
          <w:sz w:val="18"/>
          <w:szCs w:val="18"/>
        </w:rPr>
        <w:t xml:space="preserve">di impegnarsi a sottoscrivere la dichiarazione di conformità agli standard sociali minimi di cui all’allegato I al decreto del Ministero dell’Ambiente e della Tutela del Territorio e del Mare del 6 giugno 2012; </w:t>
      </w:r>
    </w:p>
    <w:p w14:paraId="21CC5777" w14:textId="77777777" w:rsidR="00276DF7" w:rsidRDefault="00276DF7" w:rsidP="00276DF7">
      <w:pPr>
        <w:pStyle w:val="Paragrafoelenco"/>
        <w:numPr>
          <w:ilvl w:val="0"/>
          <w:numId w:val="25"/>
        </w:num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lastRenderedPageBreak/>
        <w:t xml:space="preserve">di essere edotto degli obblighi derivanti dal Codice di comportamento adottato dalla stazione appaltante … reperibile a … </w:t>
      </w:r>
      <w:r w:rsidRPr="00860210">
        <w:rPr>
          <w:rFonts w:ascii="Titillium" w:hAnsi="Titillium" w:cs="Calibri"/>
          <w:i/>
          <w:iCs/>
          <w:sz w:val="18"/>
          <w:szCs w:val="18"/>
        </w:rPr>
        <w:t>[indicare gli estremi del Codice di comportamento e dove reperirlo]</w:t>
      </w:r>
      <w:r>
        <w:rPr>
          <w:rFonts w:ascii="Titillium" w:hAnsi="Titillium" w:cs="Calibri"/>
          <w:sz w:val="18"/>
          <w:szCs w:val="18"/>
        </w:rPr>
        <w:t xml:space="preserve"> e di impegnarsi, in caso di aggiudicazione, ad osservare e a far osservare ai propri dipendenti e collaboratori, per quanto applicabile, il suddetto codice, pena la risoluzione del contratto;</w:t>
      </w:r>
    </w:p>
    <w:p w14:paraId="374422BC" w14:textId="77777777" w:rsidR="00276DF7" w:rsidRDefault="00276DF7" w:rsidP="00276DF7">
      <w:pPr>
        <w:pStyle w:val="Paragrafoelenco"/>
        <w:numPr>
          <w:ilvl w:val="0"/>
          <w:numId w:val="25"/>
        </w:numPr>
        <w:shd w:val="clear" w:color="auto" w:fill="F2F2F2" w:themeFill="background1" w:themeFillShade="F2"/>
        <w:spacing w:before="60" w:after="60"/>
      </w:pPr>
      <w:r w:rsidRPr="00F70887">
        <w:rPr>
          <w:rFonts w:ascii="Titillium" w:hAnsi="Titillium" w:cs="Calibri"/>
          <w:b/>
          <w:i/>
          <w:sz w:val="18"/>
          <w:szCs w:val="18"/>
        </w:rPr>
        <w:t>[in caso di vigenza di patti/protocolli di legalità]</w:t>
      </w:r>
      <w:r w:rsidRPr="000B19D5">
        <w:rPr>
          <w:rFonts w:ascii="Titillium" w:hAnsi="Titillium" w:cs="Calibri"/>
          <w:sz w:val="18"/>
          <w:szCs w:val="18"/>
        </w:rPr>
        <w:t xml:space="preserve"> </w:t>
      </w:r>
      <w:r>
        <w:rPr>
          <w:rFonts w:ascii="Titillium" w:hAnsi="Titillium" w:cs="Calibri"/>
          <w:sz w:val="18"/>
          <w:szCs w:val="18"/>
        </w:rPr>
        <w:t xml:space="preserve">di accettare il patto di integrità/protocollo di legalità </w:t>
      </w:r>
      <w:r w:rsidRPr="00F70887">
        <w:rPr>
          <w:rFonts w:ascii="Titillium" w:hAnsi="Titillium" w:cs="Calibri"/>
          <w:i/>
          <w:sz w:val="18"/>
          <w:szCs w:val="18"/>
        </w:rPr>
        <w:t>… [</w:t>
      </w:r>
      <w:r w:rsidRPr="008866EE">
        <w:rPr>
          <w:rFonts w:ascii="Titillium" w:hAnsi="Titillium" w:cs="Calibri"/>
          <w:i/>
          <w:sz w:val="18"/>
          <w:szCs w:val="18"/>
        </w:rPr>
        <w:t>indicare il riferimento normativo o amministrativo, per esempio legge regionale n. … del …, delibera n… del …</w:t>
      </w:r>
      <w:r w:rsidRPr="00F70887">
        <w:rPr>
          <w:rFonts w:ascii="Titillium" w:hAnsi="Titillium" w:cs="Calibri"/>
          <w:i/>
          <w:sz w:val="18"/>
          <w:szCs w:val="18"/>
        </w:rPr>
        <w:t xml:space="preserve">] </w:t>
      </w:r>
      <w:r>
        <w:rPr>
          <w:rFonts w:ascii="Titillium" w:hAnsi="Titillium" w:cs="Calibri"/>
          <w:i/>
          <w:sz w:val="18"/>
          <w:szCs w:val="18"/>
        </w:rPr>
        <w:t xml:space="preserve"> </w:t>
      </w:r>
      <w:r>
        <w:rPr>
          <w:rFonts w:ascii="Titillium" w:hAnsi="Titillium" w:cs="Calibri"/>
          <w:sz w:val="18"/>
          <w:szCs w:val="18"/>
        </w:rPr>
        <w:t>accessibile al seguente link …</w:t>
      </w:r>
      <w:r>
        <w:rPr>
          <w:rFonts w:ascii="Titillium" w:hAnsi="Titillium" w:cs="Calibri"/>
          <w:i/>
          <w:sz w:val="18"/>
          <w:szCs w:val="18"/>
        </w:rPr>
        <w:t xml:space="preserve"> </w:t>
      </w:r>
      <w:r w:rsidRPr="00860210">
        <w:rPr>
          <w:rFonts w:ascii="Titillium" w:hAnsi="Titillium" w:cs="Calibri"/>
          <w:i/>
          <w:iCs/>
          <w:sz w:val="18"/>
          <w:szCs w:val="18"/>
        </w:rPr>
        <w:t>[indicare];</w:t>
      </w:r>
    </w:p>
    <w:p w14:paraId="4BF54A1B" w14:textId="77777777" w:rsidR="00276DF7" w:rsidRDefault="00276DF7" w:rsidP="00276DF7">
      <w:pPr>
        <w:pStyle w:val="Paragrafoelenco"/>
        <w:numPr>
          <w:ilvl w:val="0"/>
          <w:numId w:val="25"/>
        </w:numPr>
        <w:shd w:val="clear" w:color="auto" w:fill="F2F2F2" w:themeFill="background1" w:themeFillShade="F2"/>
      </w:pPr>
      <w:r w:rsidRPr="00F70887">
        <w:rPr>
          <w:rFonts w:ascii="Titillium" w:hAnsi="Titillium" w:cs="Calibri"/>
          <w:b/>
          <w:i/>
          <w:sz w:val="18"/>
          <w:szCs w:val="18"/>
        </w:rPr>
        <w:t>[in caso di servizi/forniture di cui ai settori sensibili di cui all’art 1, comma 53</w:t>
      </w:r>
      <w:r>
        <w:rPr>
          <w:rFonts w:ascii="Titillium" w:hAnsi="Titillium" w:cs="Calibri"/>
          <w:b/>
          <w:i/>
          <w:sz w:val="18"/>
          <w:szCs w:val="18"/>
        </w:rPr>
        <w:t>,</w:t>
      </w:r>
      <w:r w:rsidRPr="00F70887">
        <w:rPr>
          <w:rFonts w:ascii="Titillium" w:hAnsi="Titillium" w:cs="Calibri"/>
          <w:b/>
          <w:i/>
          <w:sz w:val="18"/>
          <w:szCs w:val="18"/>
        </w:rPr>
        <w:t xml:space="preserve"> della legge 190/2012]</w:t>
      </w:r>
      <w:r>
        <w:rPr>
          <w:rFonts w:ascii="Titillium" w:hAnsi="Titillium" w:cs="Calibri"/>
          <w:i/>
          <w:sz w:val="18"/>
          <w:szCs w:val="18"/>
        </w:rPr>
        <w:t xml:space="preserve"> </w:t>
      </w:r>
      <w:r>
        <w:rPr>
          <w:rFonts w:ascii="Titillium" w:hAnsi="Titillium" w:cs="Calibri"/>
          <w:sz w:val="18"/>
          <w:szCs w:val="18"/>
        </w:rPr>
        <w:t>di essere iscritto nell’elenco dei fornitori, prestatori di servizi non soggetti a tentativo di infiltrazione mafiosa (white list) istituito presso la Prefettura della provincia di … oppure di aver presentato domanda di iscrizione nell’elenco dei fornitori, prestatori di servizi non soggetti a tentativo di infiltrazione mafiosa (white list) istituito presso la Prefettura della provincia di …;</w:t>
      </w:r>
    </w:p>
    <w:p w14:paraId="1C28D669" w14:textId="77777777" w:rsidR="00276DF7" w:rsidRDefault="00276DF7" w:rsidP="00276DF7">
      <w:pPr>
        <w:pStyle w:val="Paragrafoelenco"/>
        <w:numPr>
          <w:ilvl w:val="0"/>
          <w:numId w:val="25"/>
        </w:numPr>
        <w:shd w:val="clear" w:color="auto" w:fill="F2F2F2" w:themeFill="background1" w:themeFillShade="F2"/>
      </w:pPr>
      <w:r w:rsidRPr="00E61755">
        <w:rPr>
          <w:rFonts w:ascii="Titillium" w:hAnsi="Titillium" w:cs="Calibri"/>
          <w:sz w:val="18"/>
          <w:szCs w:val="18"/>
        </w:rPr>
        <w:t>per gli operatori economici non residenti e privi di stabile organizzazione in Italia, l’impegno</w:t>
      </w:r>
      <w:r>
        <w:rPr>
          <w:rFonts w:ascii="Titillium" w:hAnsi="Titillium" w:cs="Calibri"/>
          <w:sz w:val="18"/>
          <w:szCs w:val="18"/>
        </w:rPr>
        <w:t xml:space="preserve"> ad uniformarsi, in caso di aggiudicazione, alla disciplina di cui agli articoli 17, comma 2, e 53, comma 3 del decreto del Presidente della Repubblica 633/72 e a comunicare alla stazione appaltante la nomina del proprio rappresentante fiscale, nelle forme di legge;</w:t>
      </w:r>
    </w:p>
    <w:p w14:paraId="65B6437F" w14:textId="77777777" w:rsidR="00276DF7" w:rsidRPr="00BE7E3A" w:rsidRDefault="00276DF7" w:rsidP="00276DF7">
      <w:pPr>
        <w:pStyle w:val="Paragrafoelenco"/>
        <w:numPr>
          <w:ilvl w:val="0"/>
          <w:numId w:val="25"/>
        </w:numPr>
        <w:shd w:val="clear" w:color="auto" w:fill="F2F2F2" w:themeFill="background1" w:themeFillShade="F2"/>
        <w:rPr>
          <w:rFonts w:ascii="Titillium" w:hAnsi="Titillium"/>
          <w:sz w:val="18"/>
          <w:szCs w:val="18"/>
        </w:rPr>
      </w:pPr>
      <w:r w:rsidRPr="00E61755">
        <w:rPr>
          <w:rFonts w:ascii="Titillium" w:hAnsi="Titillium" w:cs="Calibri"/>
          <w:sz w:val="18"/>
          <w:szCs w:val="18"/>
        </w:rPr>
        <w:t>per gli operatori economici non residenti e privi di stabile organizzazione in Italia, il</w:t>
      </w:r>
      <w:r w:rsidRPr="00BE7E3A">
        <w:rPr>
          <w:rFonts w:ascii="Titillium" w:hAnsi="Titillium" w:cs="Calibri"/>
          <w:sz w:val="18"/>
          <w:szCs w:val="18"/>
        </w:rPr>
        <w:t xml:space="preserve"> domicilio fiscale …, il codice fiscale …, la partita IVA …, l’indirizzo di posta elettronica certificata o strumento analogo negli altri Stati Membri, ai fini delle comunicazioni di cui all’articolo </w:t>
      </w:r>
      <w:r>
        <w:rPr>
          <w:rFonts w:ascii="Titillium" w:hAnsi="Titillium" w:cs="Calibri"/>
          <w:sz w:val="18"/>
          <w:szCs w:val="18"/>
        </w:rPr>
        <w:t>90</w:t>
      </w:r>
      <w:r w:rsidRPr="00BE7E3A">
        <w:rPr>
          <w:rFonts w:ascii="Titillium" w:hAnsi="Titillium" w:cs="Calibri"/>
          <w:sz w:val="18"/>
          <w:szCs w:val="18"/>
        </w:rPr>
        <w:t xml:space="preserve"> del Codice;</w:t>
      </w:r>
    </w:p>
    <w:p w14:paraId="1C4858AC" w14:textId="675C7F86" w:rsidR="00276DF7" w:rsidRPr="00BE7E3A" w:rsidRDefault="00276DF7" w:rsidP="00276DF7">
      <w:pPr>
        <w:pStyle w:val="Paragrafoelenco"/>
        <w:numPr>
          <w:ilvl w:val="0"/>
          <w:numId w:val="25"/>
        </w:numPr>
        <w:shd w:val="clear" w:color="auto" w:fill="F2F2F2" w:themeFill="background1" w:themeFillShade="F2"/>
        <w:rPr>
          <w:rFonts w:ascii="Titillium" w:hAnsi="Titillium"/>
          <w:sz w:val="18"/>
          <w:szCs w:val="18"/>
        </w:rPr>
      </w:pPr>
      <w:r w:rsidRPr="00BE7E3A">
        <w:rPr>
          <w:rFonts w:ascii="Titillium" w:hAnsi="Titillium" w:cs="Calibri"/>
          <w:sz w:val="18"/>
          <w:szCs w:val="18"/>
        </w:rPr>
        <w:t xml:space="preserve">di aver preso visione e di accettare il trattamento dei dati personali di cui al punto </w:t>
      </w:r>
      <w:r>
        <w:rPr>
          <w:rFonts w:ascii="Titillium" w:hAnsi="Titillium" w:cs="Calibri"/>
          <w:sz w:val="18"/>
          <w:szCs w:val="18"/>
        </w:rPr>
        <w:fldChar w:fldCharType="begin"/>
      </w:r>
      <w:r>
        <w:rPr>
          <w:rFonts w:ascii="Titillium" w:hAnsi="Titillium" w:cs="Calibri"/>
          <w:sz w:val="18"/>
          <w:szCs w:val="18"/>
        </w:rPr>
        <w:instrText xml:space="preserve"> REF _Ref132066072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28</w:t>
      </w:r>
      <w:r>
        <w:rPr>
          <w:rFonts w:ascii="Titillium" w:hAnsi="Titillium" w:cs="Calibri"/>
          <w:sz w:val="18"/>
          <w:szCs w:val="18"/>
        </w:rPr>
        <w:fldChar w:fldCharType="end"/>
      </w:r>
      <w:r w:rsidRPr="00BE7E3A">
        <w:rPr>
          <w:rFonts w:ascii="Titillium" w:hAnsi="Titillium" w:cs="Calibri"/>
          <w:sz w:val="18"/>
          <w:szCs w:val="18"/>
        </w:rPr>
        <w:t xml:space="preserve">. </w:t>
      </w:r>
    </w:p>
    <w:p w14:paraId="1E7E89CA" w14:textId="77777777" w:rsidR="00276DF7" w:rsidRPr="00BE7E3A" w:rsidRDefault="00276DF7" w:rsidP="00276DF7">
      <w:pPr>
        <w:shd w:val="clear" w:color="auto" w:fill="F2F2F2" w:themeFill="background1" w:themeFillShade="F2"/>
        <w:spacing w:before="60" w:after="60"/>
        <w:rPr>
          <w:rFonts w:ascii="Titillium" w:hAnsi="Titillium"/>
          <w:sz w:val="18"/>
          <w:szCs w:val="18"/>
        </w:rPr>
      </w:pPr>
      <w:r w:rsidRPr="00BE7E3A">
        <w:rPr>
          <w:rFonts w:ascii="Titillium" w:hAnsi="Titillium" w:cs="Calibri"/>
          <w:sz w:val="18"/>
          <w:szCs w:val="18"/>
        </w:rPr>
        <w:t>La domanda e le relative dichiarazioni sono sottoscritte</w:t>
      </w:r>
      <w:r w:rsidRPr="00BE7E3A">
        <w:rPr>
          <w:rFonts w:ascii="Titillium" w:hAnsi="Titillium"/>
          <w:sz w:val="18"/>
          <w:szCs w:val="18"/>
        </w:rPr>
        <w:t xml:space="preserve"> </w:t>
      </w:r>
      <w:r w:rsidRPr="00BE7E3A">
        <w:rPr>
          <w:rFonts w:ascii="Titillium" w:hAnsi="Titillium" w:cs="Calibri"/>
          <w:sz w:val="18"/>
          <w:szCs w:val="18"/>
        </w:rPr>
        <w:t>ai sensi del decreto legislativo n. 82/2005:</w:t>
      </w:r>
    </w:p>
    <w:p w14:paraId="7778D2E9" w14:textId="77777777" w:rsidR="00276DF7" w:rsidRPr="00BE7E3A" w:rsidRDefault="00276DF7" w:rsidP="00276DF7">
      <w:pPr>
        <w:pStyle w:val="Paragrafoelenco"/>
        <w:numPr>
          <w:ilvl w:val="0"/>
          <w:numId w:val="12"/>
        </w:numPr>
        <w:shd w:val="clear" w:color="auto" w:fill="F2F2F2" w:themeFill="background1" w:themeFillShade="F2"/>
        <w:spacing w:before="60" w:after="60"/>
        <w:ind w:left="426" w:hanging="284"/>
        <w:rPr>
          <w:rFonts w:ascii="Titillium" w:hAnsi="Titillium"/>
          <w:sz w:val="18"/>
          <w:szCs w:val="18"/>
        </w:rPr>
      </w:pPr>
      <w:r w:rsidRPr="00BE7E3A">
        <w:rPr>
          <w:rFonts w:ascii="Titillium" w:hAnsi="Titillium" w:cs="Calibri"/>
          <w:sz w:val="18"/>
          <w:szCs w:val="18"/>
        </w:rPr>
        <w:t>dal concorrente che partecipa in forma singola;</w:t>
      </w:r>
    </w:p>
    <w:p w14:paraId="71402E40" w14:textId="77777777" w:rsidR="00276DF7" w:rsidRPr="00BE7E3A" w:rsidRDefault="00276DF7" w:rsidP="00276DF7">
      <w:pPr>
        <w:pStyle w:val="Paragrafoelenco"/>
        <w:numPr>
          <w:ilvl w:val="0"/>
          <w:numId w:val="12"/>
        </w:numPr>
        <w:shd w:val="clear" w:color="auto" w:fill="F2F2F2" w:themeFill="background1" w:themeFillShade="F2"/>
        <w:spacing w:before="60" w:after="60"/>
        <w:ind w:left="426" w:hanging="284"/>
        <w:rPr>
          <w:rFonts w:ascii="Titillium" w:hAnsi="Titillium"/>
          <w:sz w:val="18"/>
          <w:szCs w:val="18"/>
        </w:rPr>
      </w:pPr>
      <w:r w:rsidRPr="00BE7E3A">
        <w:rPr>
          <w:rFonts w:ascii="Titillium" w:hAnsi="Titillium" w:cs="Calibri"/>
          <w:sz w:val="18"/>
          <w:szCs w:val="18"/>
        </w:rPr>
        <w:t>nel caso di raggruppamento temporaneo o consorzio ordinario o GEIE costituiti, dalla mandataria/capofila;</w:t>
      </w:r>
    </w:p>
    <w:p w14:paraId="463B45F6" w14:textId="77777777" w:rsidR="00276DF7" w:rsidRPr="00BE7E3A" w:rsidRDefault="00276DF7" w:rsidP="00276DF7">
      <w:pPr>
        <w:pStyle w:val="Paragrafoelenco"/>
        <w:numPr>
          <w:ilvl w:val="0"/>
          <w:numId w:val="12"/>
        </w:numPr>
        <w:shd w:val="clear" w:color="auto" w:fill="F2F2F2" w:themeFill="background1" w:themeFillShade="F2"/>
        <w:spacing w:before="60" w:after="60"/>
        <w:ind w:left="426" w:hanging="284"/>
        <w:rPr>
          <w:rFonts w:ascii="Titillium" w:hAnsi="Titillium"/>
          <w:sz w:val="18"/>
          <w:szCs w:val="18"/>
        </w:rPr>
      </w:pPr>
      <w:r w:rsidRPr="00BE7E3A">
        <w:rPr>
          <w:rFonts w:ascii="Titillium" w:hAnsi="Titillium" w:cs="Calibri"/>
          <w:sz w:val="18"/>
          <w:szCs w:val="18"/>
        </w:rPr>
        <w:t>nel caso di raggruppamento temporaneo o consorzio ordinario o GEIE non ancora costituiti, da tutti i soggetti che costituiranno il raggruppamento o il consorzio o il gruppo;</w:t>
      </w:r>
    </w:p>
    <w:p w14:paraId="6AF7B9D1" w14:textId="77777777" w:rsidR="00276DF7" w:rsidRPr="00BE7E3A" w:rsidRDefault="00276DF7" w:rsidP="00276DF7">
      <w:pPr>
        <w:pStyle w:val="Paragrafoelenco"/>
        <w:numPr>
          <w:ilvl w:val="0"/>
          <w:numId w:val="12"/>
        </w:numPr>
        <w:shd w:val="clear" w:color="auto" w:fill="F2F2F2" w:themeFill="background1" w:themeFillShade="F2"/>
        <w:spacing w:before="60" w:after="60"/>
        <w:ind w:left="426" w:hanging="284"/>
        <w:rPr>
          <w:rFonts w:ascii="Titillium" w:hAnsi="Titillium" w:cs="Calibri"/>
          <w:sz w:val="18"/>
          <w:szCs w:val="18"/>
        </w:rPr>
      </w:pPr>
      <w:r w:rsidRPr="00BE7E3A">
        <w:rPr>
          <w:rFonts w:ascii="Titillium" w:hAnsi="Titillium" w:cs="Calibri"/>
          <w:sz w:val="18"/>
          <w:szCs w:val="18"/>
        </w:rPr>
        <w:t>nel caso di aggregazioni di retisti:</w:t>
      </w:r>
    </w:p>
    <w:p w14:paraId="3CA083C2" w14:textId="77777777" w:rsidR="00276DF7" w:rsidRPr="00213696" w:rsidRDefault="00276DF7" w:rsidP="00276DF7">
      <w:pPr>
        <w:numPr>
          <w:ilvl w:val="4"/>
          <w:numId w:val="2"/>
        </w:numPr>
        <w:shd w:val="clear" w:color="auto" w:fill="F2F2F2" w:themeFill="background1" w:themeFillShade="F2"/>
        <w:spacing w:before="60" w:after="60" w:line="276" w:lineRule="auto"/>
        <w:ind w:left="709" w:hanging="283"/>
        <w:jc w:val="both"/>
        <w:rPr>
          <w:rFonts w:ascii="Titillium" w:hAnsi="Titillium"/>
          <w:sz w:val="18"/>
          <w:szCs w:val="18"/>
        </w:rPr>
      </w:pPr>
      <w:r w:rsidRPr="00213696">
        <w:rPr>
          <w:rFonts w:ascii="Titillium" w:hAnsi="Titillium" w:cs="Calibri"/>
          <w:sz w:val="18"/>
          <w:szCs w:val="18"/>
        </w:rPr>
        <w:t>se la rete è dotata di un organo comune con potere di rappresentanza e con soggettività giuridica, ai sensi dell’articolo 3, comma 4-</w:t>
      </w:r>
      <w:r w:rsidRPr="00213696">
        <w:rPr>
          <w:rFonts w:ascii="Titillium" w:hAnsi="Titillium" w:cs="Calibri"/>
          <w:i/>
          <w:sz w:val="18"/>
          <w:szCs w:val="18"/>
        </w:rPr>
        <w:t>quater</w:t>
      </w:r>
      <w:r w:rsidRPr="00213696">
        <w:rPr>
          <w:rFonts w:ascii="Titillium" w:hAnsi="Titillium" w:cs="Calibri"/>
          <w:sz w:val="18"/>
          <w:szCs w:val="18"/>
        </w:rPr>
        <w:t>, del decreto legge 10 febbraio 2009, n. 5, la domanda di partecipazione deve essere sottoscritta dal solo operatore economico che riveste la funzione di organo comune;</w:t>
      </w:r>
    </w:p>
    <w:p w14:paraId="74EB74A0" w14:textId="77777777" w:rsidR="00276DF7" w:rsidRPr="00213696" w:rsidRDefault="00276DF7" w:rsidP="00276DF7">
      <w:pPr>
        <w:numPr>
          <w:ilvl w:val="4"/>
          <w:numId w:val="2"/>
        </w:numPr>
        <w:shd w:val="clear" w:color="auto" w:fill="F2F2F2" w:themeFill="background1" w:themeFillShade="F2"/>
        <w:spacing w:before="60" w:after="60" w:line="276" w:lineRule="auto"/>
        <w:ind w:left="709" w:hanging="283"/>
        <w:jc w:val="both"/>
        <w:rPr>
          <w:rFonts w:ascii="Titillium" w:hAnsi="Titillium"/>
          <w:sz w:val="18"/>
          <w:szCs w:val="18"/>
        </w:rPr>
      </w:pPr>
      <w:r w:rsidRPr="00213696">
        <w:rPr>
          <w:rFonts w:ascii="Titillium" w:hAnsi="Titillium" w:cs="Calibri"/>
          <w:sz w:val="18"/>
          <w:szCs w:val="18"/>
          <w:lang w:eastAsia="it-IT"/>
        </w:rPr>
        <w:t>se la rete è dotata di un organo comune con potere di rappresentanza ma è priva di soggettività giuridica, ai sensi dell’articolo 3, comma 4-</w:t>
      </w:r>
      <w:r w:rsidRPr="00213696">
        <w:rPr>
          <w:rFonts w:ascii="Titillium" w:hAnsi="Titillium" w:cs="Calibri"/>
          <w:i/>
          <w:sz w:val="18"/>
          <w:szCs w:val="18"/>
          <w:lang w:eastAsia="it-IT"/>
        </w:rPr>
        <w:t>quater</w:t>
      </w:r>
      <w:r w:rsidRPr="00213696">
        <w:rPr>
          <w:rFonts w:ascii="Titillium" w:hAnsi="Titillium" w:cs="Calibri"/>
          <w:sz w:val="18"/>
          <w:szCs w:val="18"/>
          <w:lang w:eastAsia="it-IT"/>
        </w:rPr>
        <w:t xml:space="preserve">, del decreto legge 10 febbraio 2009, n. 5, la domanda di partecipazione deve essere sottoscritta </w:t>
      </w:r>
      <w:r w:rsidRPr="00213696">
        <w:rPr>
          <w:rFonts w:ascii="Titillium" w:hAnsi="Titillium" w:cs="Calibri"/>
          <w:sz w:val="18"/>
          <w:szCs w:val="18"/>
        </w:rPr>
        <w:t>dal</w:t>
      </w:r>
      <w:r w:rsidRPr="00213696">
        <w:rPr>
          <w:rFonts w:ascii="Titillium" w:hAnsi="Titillium" w:cs="Calibri"/>
          <w:sz w:val="18"/>
          <w:szCs w:val="18"/>
          <w:lang w:eastAsia="it-IT"/>
        </w:rPr>
        <w:t xml:space="preserve">l’impresa che riveste le funzioni di organo comune nonché da ognuno dei retisti che partecipa alla gara; </w:t>
      </w:r>
    </w:p>
    <w:p w14:paraId="07E62573" w14:textId="77777777" w:rsidR="00276DF7" w:rsidRPr="00213696" w:rsidRDefault="00276DF7" w:rsidP="00276DF7">
      <w:pPr>
        <w:numPr>
          <w:ilvl w:val="4"/>
          <w:numId w:val="2"/>
        </w:numPr>
        <w:shd w:val="clear" w:color="auto" w:fill="F2F2F2" w:themeFill="background1" w:themeFillShade="F2"/>
        <w:spacing w:before="60" w:after="60" w:line="276" w:lineRule="auto"/>
        <w:ind w:left="709" w:hanging="283"/>
        <w:jc w:val="both"/>
        <w:rPr>
          <w:rFonts w:ascii="Titillium" w:hAnsi="Titillium"/>
          <w:sz w:val="18"/>
          <w:szCs w:val="18"/>
        </w:rPr>
      </w:pPr>
      <w:r w:rsidRPr="00213696">
        <w:rPr>
          <w:rFonts w:ascii="Titillium" w:hAnsi="Titillium" w:cs="Calibri"/>
          <w:sz w:val="18"/>
          <w:szCs w:val="18"/>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14:paraId="2337620E" w14:textId="77777777" w:rsidR="00276DF7" w:rsidRPr="00213696" w:rsidRDefault="00276DF7" w:rsidP="00276DF7">
      <w:pPr>
        <w:shd w:val="clear" w:color="auto" w:fill="F2F2F2" w:themeFill="background1" w:themeFillShade="F2"/>
        <w:spacing w:before="60" w:after="60"/>
        <w:ind w:left="426" w:hanging="256"/>
        <w:rPr>
          <w:rFonts w:ascii="Titillium" w:hAnsi="Titillium"/>
          <w:sz w:val="18"/>
          <w:szCs w:val="18"/>
        </w:rPr>
      </w:pPr>
      <w:r w:rsidRPr="00213696">
        <w:rPr>
          <w:rFonts w:ascii="Titillium" w:hAnsi="Titillium" w:cs="Arial"/>
          <w:sz w:val="18"/>
          <w:szCs w:val="18"/>
        </w:rPr>
        <w:t xml:space="preserve">- </w:t>
      </w:r>
      <w:r w:rsidRPr="00213696">
        <w:rPr>
          <w:rFonts w:ascii="Titillium" w:hAnsi="Titillium" w:cs="Arial"/>
          <w:sz w:val="18"/>
          <w:szCs w:val="18"/>
        </w:rPr>
        <w:tab/>
        <w:t>nel</w:t>
      </w:r>
      <w:r w:rsidRPr="00213696">
        <w:rPr>
          <w:rFonts w:ascii="Titillium" w:hAnsi="Titillium" w:cs="Calibri"/>
          <w:sz w:val="18"/>
          <w:szCs w:val="18"/>
          <w:lang w:eastAsia="it-IT"/>
        </w:rPr>
        <w:t xml:space="preserve"> caso di consorzio di cooperative e imprese artigiane o di consorzio stabile di cui all’articolo </w:t>
      </w:r>
      <w:r>
        <w:rPr>
          <w:rFonts w:ascii="Titillium" w:hAnsi="Titillium" w:cs="Calibri"/>
          <w:sz w:val="18"/>
          <w:szCs w:val="18"/>
          <w:lang w:eastAsia="it-IT"/>
        </w:rPr>
        <w:t>6</w:t>
      </w:r>
      <w:r w:rsidRPr="00213696">
        <w:rPr>
          <w:rFonts w:ascii="Titillium" w:hAnsi="Titillium" w:cs="Calibri"/>
          <w:sz w:val="18"/>
          <w:szCs w:val="18"/>
          <w:lang w:eastAsia="it-IT"/>
        </w:rPr>
        <w:t>5, comma 2</w:t>
      </w:r>
      <w:r>
        <w:rPr>
          <w:rFonts w:ascii="Titillium" w:hAnsi="Titillium" w:cs="Calibri"/>
          <w:sz w:val="18"/>
          <w:szCs w:val="18"/>
          <w:lang w:eastAsia="it-IT"/>
        </w:rPr>
        <w:t>,</w:t>
      </w:r>
      <w:r w:rsidRPr="00213696">
        <w:rPr>
          <w:rFonts w:ascii="Titillium" w:hAnsi="Titillium" w:cs="Calibri"/>
          <w:sz w:val="18"/>
          <w:szCs w:val="18"/>
          <w:lang w:eastAsia="it-IT"/>
        </w:rPr>
        <w:t xml:space="preserve"> lettera b)</w:t>
      </w:r>
      <w:r>
        <w:rPr>
          <w:rFonts w:ascii="Titillium" w:hAnsi="Titillium" w:cs="Calibri"/>
          <w:sz w:val="18"/>
          <w:szCs w:val="18"/>
          <w:lang w:eastAsia="it-IT"/>
        </w:rPr>
        <w:t>,</w:t>
      </w:r>
      <w:r w:rsidRPr="00213696">
        <w:rPr>
          <w:rFonts w:ascii="Titillium" w:hAnsi="Titillium" w:cs="Calibri"/>
          <w:sz w:val="18"/>
          <w:szCs w:val="18"/>
          <w:lang w:eastAsia="it-IT"/>
        </w:rPr>
        <w:t xml:space="preserve"> c)</w:t>
      </w:r>
      <w:r>
        <w:rPr>
          <w:rFonts w:ascii="Titillium" w:hAnsi="Titillium" w:cs="Calibri"/>
          <w:sz w:val="18"/>
          <w:szCs w:val="18"/>
          <w:lang w:eastAsia="it-IT"/>
        </w:rPr>
        <w:t xml:space="preserve"> e d) </w:t>
      </w:r>
      <w:r w:rsidRPr="00213696">
        <w:rPr>
          <w:rFonts w:ascii="Titillium" w:hAnsi="Titillium" w:cs="Calibri"/>
          <w:sz w:val="18"/>
          <w:szCs w:val="18"/>
          <w:lang w:eastAsia="it-IT"/>
        </w:rPr>
        <w:t xml:space="preserve">del Codice, </w:t>
      </w:r>
      <w:r w:rsidRPr="00213696">
        <w:rPr>
          <w:rFonts w:ascii="Titillium" w:hAnsi="Titillium" w:cs="Calibri"/>
          <w:sz w:val="18"/>
          <w:szCs w:val="18"/>
        </w:rPr>
        <w:t>la domanda è sottoscritta</w:t>
      </w:r>
      <w:r w:rsidRPr="00213696">
        <w:rPr>
          <w:rFonts w:ascii="Titillium" w:hAnsi="Titillium" w:cs="Calibri"/>
          <w:sz w:val="18"/>
          <w:szCs w:val="18"/>
          <w:lang w:eastAsia="it-IT"/>
        </w:rPr>
        <w:t xml:space="preserve"> digitalmente dal consorzio medesimo.</w:t>
      </w:r>
    </w:p>
    <w:p w14:paraId="1EB96C2F" w14:textId="77777777" w:rsidR="00276DF7" w:rsidRDefault="00276DF7" w:rsidP="00276DF7">
      <w:pPr>
        <w:shd w:val="clear" w:color="auto" w:fill="F2F2F2" w:themeFill="background1" w:themeFillShade="F2"/>
        <w:rPr>
          <w:rFonts w:ascii="Titillium" w:hAnsi="Titillium"/>
          <w:iCs/>
          <w:sz w:val="18"/>
          <w:szCs w:val="18"/>
        </w:rPr>
      </w:pPr>
      <w:r w:rsidRPr="00213696">
        <w:rPr>
          <w:rFonts w:ascii="Titillium" w:hAnsi="Titillium"/>
          <w:sz w:val="18"/>
          <w:szCs w:val="18"/>
        </w:rPr>
        <w:t>La domanda e le relative dichiarazioni sono firmate dal legale rappresentante del concorrente o da un suo procuratore munito della relativa procura</w:t>
      </w:r>
      <w:r w:rsidRPr="00CD688F">
        <w:rPr>
          <w:rFonts w:ascii="Titillium" w:hAnsi="Titillium"/>
          <w:b/>
          <w:sz w:val="18"/>
          <w:szCs w:val="18"/>
        </w:rPr>
        <w:t xml:space="preserve">. </w:t>
      </w:r>
      <w:r w:rsidRPr="00213696">
        <w:rPr>
          <w:rFonts w:ascii="Titillium" w:hAnsi="Titillium"/>
          <w:sz w:val="18"/>
          <w:szCs w:val="18"/>
        </w:rPr>
        <w:t xml:space="preserve">In tal caso, il </w:t>
      </w:r>
      <w:r w:rsidRPr="00213696">
        <w:rPr>
          <w:rFonts w:ascii="Titillium" w:hAnsi="Titillium"/>
          <w:sz w:val="18"/>
          <w:szCs w:val="18"/>
        </w:rPr>
        <w:lastRenderedPageBreak/>
        <w:t>concorrente allega alla domanda copia conforme all’originale della procura</w:t>
      </w:r>
      <w:r>
        <w:rPr>
          <w:rFonts w:ascii="Titillium" w:hAnsi="Titillium"/>
          <w:sz w:val="18"/>
          <w:szCs w:val="18"/>
        </w:rPr>
        <w:t>.</w:t>
      </w:r>
      <w:r w:rsidRPr="00213696">
        <w:rPr>
          <w:rFonts w:ascii="Titillium" w:hAnsi="Titillium"/>
          <w:sz w:val="18"/>
          <w:szCs w:val="18"/>
        </w:rPr>
        <w:t xml:space="preserve"> </w:t>
      </w:r>
      <w:r>
        <w:rPr>
          <w:rFonts w:ascii="Titillium" w:hAnsi="Titillium"/>
          <w:iCs/>
          <w:sz w:val="18"/>
          <w:szCs w:val="18"/>
        </w:rPr>
        <w:t xml:space="preserve">Non è necessario allegare la procura se </w:t>
      </w:r>
      <w:r w:rsidRPr="00AE4D10">
        <w:rPr>
          <w:rFonts w:ascii="Titillium" w:hAnsi="Titillium"/>
          <w:iCs/>
          <w:sz w:val="18"/>
          <w:szCs w:val="18"/>
        </w:rPr>
        <w:t xml:space="preserve">dalla visura camerale del concorrente risulti l’indicazione espressa dei poteri rappresentativi conferiti </w:t>
      </w:r>
      <w:r>
        <w:rPr>
          <w:rFonts w:ascii="Titillium" w:hAnsi="Titillium"/>
          <w:iCs/>
          <w:sz w:val="18"/>
          <w:szCs w:val="18"/>
        </w:rPr>
        <w:t>al procuratore;</w:t>
      </w:r>
    </w:p>
    <w:p w14:paraId="4A780A49" w14:textId="77777777" w:rsidR="00276DF7" w:rsidRDefault="00276DF7" w:rsidP="00276DF7">
      <w:pPr>
        <w:shd w:val="clear" w:color="auto" w:fill="F2F2F2" w:themeFill="background1" w:themeFillShade="F2"/>
        <w:rPr>
          <w:rFonts w:ascii="Titillium" w:hAnsi="Titillium"/>
          <w:iCs/>
          <w:sz w:val="18"/>
          <w:szCs w:val="18"/>
        </w:rPr>
      </w:pPr>
    </w:p>
    <w:p w14:paraId="7A2F69BC"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Arial"/>
          <w:i/>
          <w:sz w:val="18"/>
          <w:szCs w:val="18"/>
        </w:rPr>
      </w:pPr>
      <w:r>
        <w:rPr>
          <w:rFonts w:ascii="Titillium" w:hAnsi="Titillium" w:cs="Arial"/>
          <w:i/>
          <w:sz w:val="18"/>
          <w:szCs w:val="18"/>
        </w:rPr>
        <w:t xml:space="preserve">N.B. </w:t>
      </w:r>
      <w:r w:rsidRPr="001E62AF">
        <w:rPr>
          <w:rFonts w:ascii="Titillium" w:hAnsi="Titillium" w:cs="Arial"/>
          <w:i/>
          <w:sz w:val="18"/>
          <w:szCs w:val="18"/>
        </w:rPr>
        <w:t>Nel caso di suddivisione della gara in lotti in cui sono previsti criteri di selezione diversi, le dichiarazioni sono rese con riferimento a ciascun lotto cui si intende partecipare. Se vi sono lotti per i quali sono previsti i medesimi criteri di selezione, la stazione appaltante può prevedere la presentazione di un’unica dichiarazione.</w:t>
      </w:r>
    </w:p>
    <w:p w14:paraId="07F83BA0"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tillium" w:hAnsi="Titillium"/>
          <w:iCs/>
          <w:sz w:val="18"/>
          <w:szCs w:val="18"/>
        </w:rPr>
      </w:pPr>
      <w:r>
        <w:rPr>
          <w:rFonts w:ascii="Titillium" w:hAnsi="Titillium" w:cs="Arial"/>
          <w:i/>
          <w:sz w:val="18"/>
          <w:szCs w:val="18"/>
        </w:rPr>
        <w:t>Q</w:t>
      </w:r>
      <w:r w:rsidRPr="000E45B5">
        <w:rPr>
          <w:rFonts w:ascii="Titillium" w:hAnsi="Titillium" w:cs="Arial"/>
          <w:i/>
          <w:sz w:val="18"/>
          <w:szCs w:val="18"/>
        </w:rPr>
        <w:t>ualora la piattaforma utilizzata dalla stazione appaltante preveda che in caso di partecipazione di operatori riuniti o associati vengano autogenerate tante domande di partecipazione quanti sono i componenti del raggruppamento/ consorzio ordinario l’amministrazione definisce le modalità di presentazione e sottoscrizione delle stesse</w:t>
      </w:r>
      <w:r>
        <w:rPr>
          <w:rFonts w:ascii="Titillium" w:hAnsi="Titillium" w:cs="Arial"/>
          <w:i/>
          <w:sz w:val="18"/>
          <w:szCs w:val="18"/>
        </w:rPr>
        <w:t>.</w:t>
      </w:r>
    </w:p>
    <w:p w14:paraId="59141302" w14:textId="77777777" w:rsidR="00276DF7" w:rsidRPr="00213696" w:rsidRDefault="00276DF7" w:rsidP="00276DF7">
      <w:pPr>
        <w:shd w:val="clear" w:color="auto" w:fill="F2F2F2" w:themeFill="background1" w:themeFillShade="F2"/>
        <w:rPr>
          <w:rFonts w:ascii="Titillium" w:hAnsi="Titillium"/>
          <w:sz w:val="18"/>
          <w:szCs w:val="18"/>
        </w:rPr>
      </w:pPr>
    </w:p>
    <w:p w14:paraId="722A222B" w14:textId="77777777" w:rsidR="00276DF7" w:rsidRPr="002A792A" w:rsidRDefault="00276DF7" w:rsidP="00276DF7">
      <w:pPr>
        <w:pStyle w:val="Paragrafoelenco"/>
        <w:shd w:val="clear" w:color="auto" w:fill="F2F2F2" w:themeFill="background1" w:themeFillShade="F2"/>
        <w:spacing w:before="60" w:after="60"/>
        <w:ind w:left="0"/>
      </w:pPr>
      <w:r w:rsidRPr="002A792A">
        <w:rPr>
          <w:rFonts w:ascii="Titillium" w:hAnsi="Titillium" w:cs="Calibri"/>
          <w:sz w:val="18"/>
          <w:szCs w:val="18"/>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w:t>
      </w:r>
      <w:r>
        <w:rPr>
          <w:rFonts w:ascii="Titillium" w:hAnsi="Titillium" w:cs="Calibri"/>
          <w:sz w:val="18"/>
          <w:szCs w:val="18"/>
        </w:rPr>
        <w:t>tramite F24, bollo virtuale</w:t>
      </w:r>
      <w:r w:rsidRPr="00675DF0">
        <w:rPr>
          <w:rFonts w:ascii="Titillium" w:hAnsi="Titillium" w:cs="Calibri"/>
          <w:sz w:val="18"/>
          <w:szCs w:val="18"/>
        </w:rPr>
        <w:t xml:space="preserve"> previa autorizzazione rilasciata dall’Agenzia delle Entrate</w:t>
      </w:r>
      <w:r>
        <w:rPr>
          <w:rFonts w:ascii="Titillium" w:hAnsi="Titillium" w:cs="Calibri"/>
          <w:sz w:val="18"/>
          <w:szCs w:val="18"/>
        </w:rPr>
        <w:t xml:space="preserve"> </w:t>
      </w:r>
      <w:r w:rsidRPr="002A792A">
        <w:rPr>
          <w:rFonts w:ascii="Titillium" w:hAnsi="Titillium" w:cs="Calibri"/>
          <w:sz w:val="18"/>
          <w:szCs w:val="18"/>
        </w:rPr>
        <w:t>o tramite il servizio @e.bollo</w:t>
      </w:r>
      <w:r>
        <w:rPr>
          <w:rFonts w:ascii="Calibri" w:hAnsi="Calibri" w:cs="Calibri"/>
          <w:sz w:val="18"/>
          <w:szCs w:val="18"/>
        </w:rPr>
        <w:t xml:space="preserve"> </w:t>
      </w:r>
      <w:r w:rsidRPr="002A792A">
        <w:rPr>
          <w:rFonts w:ascii="Titillium" w:hAnsi="Titillium" w:cs="Calibri"/>
          <w:sz w:val="18"/>
          <w:szCs w:val="18"/>
        </w:rPr>
        <w:t xml:space="preserve">dell'Agenzia delle Entrate o </w:t>
      </w:r>
      <w:r w:rsidRPr="002A792A">
        <w:rPr>
          <w:rFonts w:ascii="Titillium" w:hAnsi="Titillium" w:cs="Calibri"/>
          <w:iCs/>
          <w:sz w:val="18"/>
          <w:szCs w:val="18"/>
        </w:rPr>
        <w:t xml:space="preserve">per gli operatori economici esteri tramite il pagamento del tributo con bonifico utilizzando il codice Iban IT07Y0100003245348008120501 e specificando nella causale la propria denominazione, codice fiscale (se presente) e gli estremi dell'atto a cui si riferisce il pagamento. </w:t>
      </w:r>
      <w:r w:rsidRPr="002A792A">
        <w:rPr>
          <w:rFonts w:ascii="Titillium" w:hAnsi="Titillium" w:cs="Calibri"/>
          <w:i/>
          <w:iCs/>
          <w:sz w:val="18"/>
          <w:szCs w:val="18"/>
        </w:rPr>
        <w:t xml:space="preserve"> </w:t>
      </w:r>
    </w:p>
    <w:p w14:paraId="556DC1C8" w14:textId="77777777" w:rsidR="00276DF7" w:rsidRPr="002A792A" w:rsidRDefault="00276DF7" w:rsidP="00276DF7">
      <w:pPr>
        <w:pStyle w:val="Paragrafoelenco"/>
        <w:shd w:val="clear" w:color="auto" w:fill="F2F2F2" w:themeFill="background1" w:themeFillShade="F2"/>
        <w:spacing w:before="60" w:after="60"/>
        <w:ind w:left="0"/>
      </w:pPr>
      <w:r w:rsidRPr="002A792A">
        <w:rPr>
          <w:rFonts w:ascii="Titillium" w:hAnsi="Titillium" w:cs="Calibri"/>
          <w:sz w:val="18"/>
          <w:szCs w:val="18"/>
        </w:rPr>
        <w:t>A comprova del pagamento, il concorrente allega la ricevuta di pagamento elettronico ovvero del bonifico bancario.</w:t>
      </w:r>
    </w:p>
    <w:p w14:paraId="6EB000BA" w14:textId="77777777" w:rsidR="00276DF7" w:rsidRDefault="00276DF7" w:rsidP="00276DF7">
      <w:pPr>
        <w:pStyle w:val="Paragrafoelenco"/>
        <w:shd w:val="clear" w:color="auto" w:fill="F2F2F2" w:themeFill="background1" w:themeFillShade="F2"/>
        <w:spacing w:before="60" w:after="60"/>
        <w:ind w:left="0"/>
        <w:rPr>
          <w:rFonts w:ascii="Titillium" w:hAnsi="Titillium" w:cs="Calibri"/>
          <w:iCs/>
          <w:sz w:val="18"/>
          <w:szCs w:val="18"/>
        </w:rPr>
      </w:pPr>
      <w:r w:rsidRPr="002A792A">
        <w:rPr>
          <w:rFonts w:ascii="Titillium" w:hAnsi="Titillium" w:cs="Calibri"/>
          <w:iCs/>
          <w:sz w:val="18"/>
          <w:szCs w:val="18"/>
        </w:rPr>
        <w:t>In alternativa il concorrente può acquistare la</w:t>
      </w:r>
      <w:r>
        <w:rPr>
          <w:rFonts w:ascii="Titillium" w:hAnsi="Titillium" w:cs="Calibri"/>
          <w:iCs/>
          <w:sz w:val="18"/>
          <w:szCs w:val="18"/>
        </w:rPr>
        <w:t xml:space="preserve"> </w:t>
      </w:r>
      <w:r w:rsidRPr="002A792A">
        <w:rPr>
          <w:rFonts w:ascii="Titillium" w:hAnsi="Titillium" w:cs="Calibri"/>
          <w:iCs/>
          <w:sz w:val="18"/>
          <w:szCs w:val="18"/>
        </w:rPr>
        <w:t>marca da bollo</w:t>
      </w:r>
      <w:r>
        <w:rPr>
          <w:rFonts w:ascii="Titillium" w:hAnsi="Titillium" w:cs="Calibri"/>
          <w:iCs/>
          <w:sz w:val="18"/>
          <w:szCs w:val="18"/>
        </w:rPr>
        <w:t xml:space="preserve"> </w:t>
      </w:r>
      <w:r w:rsidRPr="002A792A">
        <w:rPr>
          <w:rFonts w:ascii="Titillium" w:hAnsi="Titillium" w:cs="Calibri"/>
          <w:iCs/>
          <w:sz w:val="18"/>
          <w:szCs w:val="18"/>
        </w:rPr>
        <w:t xml:space="preserve">da euro 16,00 ed inserire il suo numero seriale all'interno della dichiarazione contenuta nell'istanza telematica e allegare, obbligatoriamente copia del contrassegno in formato.pdf. Il concorrente si assume ogni responsabilità in caso di utilizzo plurimo dei contrassegni. </w:t>
      </w:r>
    </w:p>
    <w:p w14:paraId="7118CF10" w14:textId="77777777" w:rsidR="00276DF7" w:rsidRDefault="00276DF7" w:rsidP="00276DF7">
      <w:pPr>
        <w:pStyle w:val="Paragrafoelenco"/>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ind w:left="0"/>
      </w:pPr>
      <w:r w:rsidRPr="002A792A">
        <w:rPr>
          <w:rFonts w:ascii="Titillium" w:hAnsi="Titillium" w:cs="Arial"/>
          <w:i/>
          <w:sz w:val="18"/>
          <w:szCs w:val="18"/>
        </w:rPr>
        <w:t xml:space="preserve">N.B. Le stazioni appaltanti considerano le esenzioni dal pagamento dell'imposta di bollo di cui al </w:t>
      </w:r>
      <w:hyperlink r:id="rId14" w:tgtFrame="_blank">
        <w:r w:rsidRPr="002A792A">
          <w:rPr>
            <w:rFonts w:ascii="Titillium" w:hAnsi="Titillium"/>
            <w:sz w:val="18"/>
            <w:szCs w:val="18"/>
          </w:rPr>
          <w:t>Decreto del Presidente della Repubblica n. 642/72, allegato B e al Decreto legislativo  n. 117/17, articolo 82</w:t>
        </w:r>
      </w:hyperlink>
      <w:r>
        <w:rPr>
          <w:rFonts w:ascii="Titillium" w:hAnsi="Titillium"/>
          <w:sz w:val="18"/>
          <w:szCs w:val="18"/>
        </w:rPr>
        <w:t>.</w:t>
      </w:r>
    </w:p>
    <w:bookmarkEnd w:id="1892"/>
    <w:bookmarkEnd w:id="1893"/>
    <w:p w14:paraId="5FCC7D71" w14:textId="77777777" w:rsidR="00276DF7" w:rsidRDefault="00276DF7" w:rsidP="00276DF7">
      <w:pPr>
        <w:pStyle w:val="NormaleWeb"/>
        <w:shd w:val="clear" w:color="auto" w:fill="F2F2F2" w:themeFill="background1" w:themeFillShade="F2"/>
      </w:pPr>
    </w:p>
    <w:p w14:paraId="42F52FCB" w14:textId="77777777" w:rsidR="00276DF7" w:rsidRPr="00841324" w:rsidRDefault="00276DF7" w:rsidP="00276DF7">
      <w:pPr>
        <w:pStyle w:val="Titolo3"/>
        <w:numPr>
          <w:ilvl w:val="1"/>
          <w:numId w:val="4"/>
        </w:numPr>
        <w:shd w:val="clear" w:color="auto" w:fill="F2F2F2" w:themeFill="background1" w:themeFillShade="F2"/>
        <w:ind w:left="426" w:hanging="426"/>
      </w:pPr>
      <w:bookmarkStart w:id="1894" w:name="_Toc139549439"/>
      <w:r w:rsidRPr="000315E8">
        <w:rPr>
          <w:rFonts w:ascii="Titillium" w:hAnsi="Titillium"/>
          <w:sz w:val="18"/>
          <w:szCs w:val="18"/>
        </w:rPr>
        <w:t>DICHIARAZION</w:t>
      </w:r>
      <w:r w:rsidRPr="000315E8">
        <w:rPr>
          <w:rFonts w:ascii="Titillium" w:hAnsi="Titillium"/>
          <w:sz w:val="18"/>
          <w:szCs w:val="18"/>
          <w:lang w:val="it-IT"/>
        </w:rPr>
        <w:t xml:space="preserve">I DA RENDERE A CURA DEGLI </w:t>
      </w:r>
      <w:r w:rsidRPr="000315E8">
        <w:rPr>
          <w:rFonts w:ascii="Titillium" w:hAnsi="Titillium"/>
          <w:sz w:val="18"/>
          <w:szCs w:val="18"/>
        </w:rPr>
        <w:t xml:space="preserve"> OPERATORI ECONOMICI AMMESSI AL CONCORDATO PREVENTIVO CON CONTINUITÀ AZIENDALE DI CUI ALL’ARTICOLO </w:t>
      </w:r>
      <w:r w:rsidRPr="000315E8">
        <w:rPr>
          <w:rFonts w:ascii="Titillium" w:hAnsi="Titillium"/>
          <w:sz w:val="18"/>
          <w:szCs w:val="18"/>
          <w:lang w:val="it-IT"/>
        </w:rPr>
        <w:t xml:space="preserve">372 </w:t>
      </w:r>
      <w:r>
        <w:rPr>
          <w:rFonts w:ascii="Titillium" w:hAnsi="Titillium"/>
          <w:sz w:val="18"/>
          <w:szCs w:val="18"/>
          <w:lang w:val="it-IT"/>
        </w:rPr>
        <w:t>del</w:t>
      </w:r>
      <w:r w:rsidRPr="000315E8">
        <w:rPr>
          <w:rFonts w:ascii="Titillium" w:hAnsi="Titillium"/>
          <w:sz w:val="18"/>
          <w:szCs w:val="18"/>
          <w:lang w:val="it-IT"/>
        </w:rPr>
        <w:t xml:space="preserve"> </w:t>
      </w:r>
      <w:r w:rsidRPr="000315E8">
        <w:rPr>
          <w:rFonts w:ascii="Titillium" w:hAnsi="Titillium"/>
          <w:caps w:val="0"/>
          <w:sz w:val="18"/>
          <w:szCs w:val="18"/>
          <w:lang w:val="it-IT"/>
        </w:rPr>
        <w:t xml:space="preserve">DECRETO LEGISLATIVO 12 </w:t>
      </w:r>
      <w:r>
        <w:rPr>
          <w:rFonts w:ascii="Titillium" w:hAnsi="Titillium"/>
          <w:caps w:val="0"/>
          <w:sz w:val="18"/>
          <w:szCs w:val="18"/>
          <w:lang w:val="it-IT"/>
        </w:rPr>
        <w:t xml:space="preserve">GENNAIO </w:t>
      </w:r>
      <w:r w:rsidRPr="000315E8">
        <w:rPr>
          <w:rFonts w:ascii="Titillium" w:hAnsi="Titillium"/>
          <w:caps w:val="0"/>
          <w:sz w:val="18"/>
          <w:szCs w:val="18"/>
          <w:lang w:val="it-IT"/>
        </w:rPr>
        <w:t>2019 , n. 14</w:t>
      </w:r>
      <w:bookmarkEnd w:id="1894"/>
    </w:p>
    <w:p w14:paraId="53374D1F" w14:textId="77777777" w:rsidR="00276DF7" w:rsidRPr="00841324" w:rsidRDefault="00276DF7" w:rsidP="00276DF7">
      <w:pPr>
        <w:shd w:val="clear" w:color="auto" w:fill="F2F2F2" w:themeFill="background1" w:themeFillShade="F2"/>
        <w:spacing w:before="60" w:after="60"/>
        <w:rPr>
          <w:rFonts w:ascii="Titillium" w:hAnsi="Titillium" w:cs="Calibri"/>
          <w:sz w:val="18"/>
          <w:szCs w:val="18"/>
        </w:rPr>
      </w:pPr>
      <w:r w:rsidRPr="000315E8">
        <w:rPr>
          <w:rFonts w:ascii="Titillium" w:hAnsi="Titillium" w:cs="Calibri"/>
          <w:sz w:val="18"/>
          <w:szCs w:val="18"/>
        </w:rPr>
        <w:t xml:space="preserve">Il concorrente dichiara ai sensi degli articoli 46 e 47 del decreto del Presidente della Repubblica n. 445/2000 gli </w:t>
      </w:r>
      <w:r w:rsidRPr="00841324">
        <w:rPr>
          <w:rFonts w:ascii="Titillium" w:hAnsi="Titillium" w:cs="Calibri"/>
          <w:sz w:val="18"/>
          <w:szCs w:val="18"/>
        </w:rPr>
        <w:t xml:space="preserve">estremi del provvedimento di ammissione al concordato e del provvedimento di autorizzazione a partecipare alle gare, </w:t>
      </w:r>
      <w:r w:rsidRPr="000315E8">
        <w:rPr>
          <w:rFonts w:ascii="Titillium" w:hAnsi="Titillium" w:cs="Calibri"/>
          <w:sz w:val="18"/>
          <w:szCs w:val="18"/>
        </w:rPr>
        <w:t>nonché dichiara che le altre imprese aderenti al raggruppamento non sono assoggettate ad una procedura concorsuale</w:t>
      </w:r>
      <w:r>
        <w:rPr>
          <w:rFonts w:ascii="Titillium" w:hAnsi="Titillium" w:cs="Calibri"/>
          <w:sz w:val="18"/>
          <w:szCs w:val="18"/>
        </w:rPr>
        <w:t>,</w:t>
      </w:r>
      <w:r w:rsidRPr="000315E8">
        <w:rPr>
          <w:rFonts w:ascii="Titillium" w:hAnsi="Titillium" w:cs="Calibri"/>
          <w:sz w:val="18"/>
          <w:szCs w:val="18"/>
        </w:rPr>
        <w:t xml:space="preserve"> ai sensi dell’articolo 95, commi 4 e 5, del </w:t>
      </w:r>
      <w:r>
        <w:rPr>
          <w:rFonts w:ascii="Titillium" w:hAnsi="Titillium" w:cs="Calibri"/>
          <w:sz w:val="18"/>
          <w:szCs w:val="18"/>
        </w:rPr>
        <w:t>decreto legislativo n. 14/2019</w:t>
      </w:r>
    </w:p>
    <w:p w14:paraId="0B9677F4" w14:textId="77777777" w:rsidR="00276DF7" w:rsidRDefault="00276DF7" w:rsidP="00276DF7">
      <w:pPr>
        <w:shd w:val="clear" w:color="auto" w:fill="F2F2F2" w:themeFill="background1" w:themeFillShade="F2"/>
        <w:spacing w:before="60" w:after="60"/>
      </w:pPr>
      <w:r>
        <w:rPr>
          <w:rFonts w:ascii="Titillium" w:hAnsi="Titillium" w:cs="Calibri"/>
          <w:sz w:val="18"/>
          <w:szCs w:val="18"/>
        </w:rPr>
        <w:t xml:space="preserve">Il concorrente presenta una relazione di un professionista in possesso dei requisiti di cui </w:t>
      </w:r>
      <w:r w:rsidRPr="008872F1">
        <w:rPr>
          <w:rFonts w:ascii="Titillium" w:hAnsi="Titillium" w:cs="Calibri"/>
          <w:sz w:val="18"/>
          <w:szCs w:val="18"/>
        </w:rPr>
        <w:t>all'</w:t>
      </w:r>
      <w:hyperlink r:id="rId15">
        <w:r w:rsidRPr="008872F1">
          <w:rPr>
            <w:rStyle w:val="CollegamentoInternet"/>
            <w:rFonts w:ascii="Titillium" w:hAnsi="Titillium" w:cs="Calibri"/>
            <w:sz w:val="18"/>
            <w:szCs w:val="18"/>
          </w:rPr>
          <w:t xml:space="preserve">articolo </w:t>
        </w:r>
        <w:r>
          <w:rPr>
            <w:rStyle w:val="CollegamentoInternet"/>
            <w:rFonts w:ascii="Titillium" w:hAnsi="Titillium" w:cs="Calibri"/>
            <w:sz w:val="18"/>
            <w:szCs w:val="18"/>
          </w:rPr>
          <w:t xml:space="preserve">2, comma 1, lettera o) del decreto legislativo succitato </w:t>
        </w:r>
      </w:hyperlink>
      <w:r>
        <w:rPr>
          <w:rFonts w:ascii="Titillium" w:hAnsi="Titillium" w:cs="Calibri"/>
          <w:sz w:val="18"/>
          <w:szCs w:val="18"/>
        </w:rPr>
        <w:t>che attesta la conformità al piano e la ragionevole capacità di adempimento del contratto.</w:t>
      </w:r>
    </w:p>
    <w:p w14:paraId="26848F61" w14:textId="77777777" w:rsidR="00276DF7" w:rsidRPr="00841324" w:rsidRDefault="00276DF7" w:rsidP="00276DF7">
      <w:pPr>
        <w:pStyle w:val="Titolo3"/>
        <w:numPr>
          <w:ilvl w:val="1"/>
          <w:numId w:val="4"/>
        </w:numPr>
        <w:shd w:val="clear" w:color="auto" w:fill="F2F2F2" w:themeFill="background1" w:themeFillShade="F2"/>
        <w:ind w:left="426" w:hanging="426"/>
        <w:rPr>
          <w:rFonts w:ascii="Titillium" w:hAnsi="Titillium"/>
          <w:sz w:val="18"/>
          <w:szCs w:val="18"/>
          <w:lang w:val="it-IT"/>
        </w:rPr>
      </w:pPr>
      <w:bookmarkStart w:id="1895" w:name="_Ref132054207"/>
      <w:bookmarkStart w:id="1896" w:name="_Toc139549440"/>
      <w:r w:rsidRPr="00841324">
        <w:rPr>
          <w:rFonts w:ascii="Titillium" w:hAnsi="Titillium"/>
          <w:sz w:val="18"/>
          <w:szCs w:val="18"/>
          <w:lang w:val="it-IT"/>
        </w:rPr>
        <w:t>DOCUMENTAZIONE IN CASO DI AVVALIMENTO</w:t>
      </w:r>
      <w:bookmarkEnd w:id="1895"/>
      <w:bookmarkEnd w:id="1896"/>
    </w:p>
    <w:p w14:paraId="467D3782"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L’impresa ausiliaria rende le dichiarazioni sul possesso dei requisiti di ordine generale</w:t>
      </w:r>
      <w:r w:rsidRPr="00771B26">
        <w:rPr>
          <w:rFonts w:ascii="Titillium" w:hAnsi="Titillium" w:cs="Calibri"/>
          <w:sz w:val="18"/>
          <w:szCs w:val="18"/>
        </w:rPr>
        <w:t xml:space="preserve"> </w:t>
      </w:r>
      <w:r>
        <w:rPr>
          <w:rFonts w:ascii="Titillium" w:hAnsi="Titillium" w:cs="Calibri"/>
          <w:sz w:val="18"/>
          <w:szCs w:val="18"/>
        </w:rPr>
        <w:t xml:space="preserve">mediante compilazione dell’apposita sezione del DGUE. </w:t>
      </w:r>
    </w:p>
    <w:p w14:paraId="4CC743B4" w14:textId="77777777" w:rsidR="00276DF7" w:rsidRPr="00771B26" w:rsidRDefault="00276DF7" w:rsidP="00276DF7">
      <w:pPr>
        <w:shd w:val="clear" w:color="auto" w:fill="F2F2F2" w:themeFill="background1" w:themeFillShade="F2"/>
        <w:spacing w:before="60" w:after="60"/>
        <w:rPr>
          <w:rFonts w:ascii="Titillium" w:hAnsi="Titillium" w:cs="Calibri"/>
          <w:sz w:val="18"/>
          <w:szCs w:val="18"/>
        </w:rPr>
      </w:pPr>
      <w:r w:rsidRPr="00771B26">
        <w:rPr>
          <w:rFonts w:ascii="Titillium" w:hAnsi="Titillium" w:cs="Calibri"/>
          <w:sz w:val="18"/>
          <w:szCs w:val="18"/>
        </w:rPr>
        <w:t>Il concorrente, per ciascuna ausiliaria, allega:</w:t>
      </w:r>
    </w:p>
    <w:p w14:paraId="137D2330" w14:textId="77777777" w:rsidR="00276DF7" w:rsidRPr="00563D04" w:rsidRDefault="00276DF7" w:rsidP="00276DF7">
      <w:pPr>
        <w:pStyle w:val="Paragrafoelenco"/>
        <w:numPr>
          <w:ilvl w:val="2"/>
          <w:numId w:val="17"/>
        </w:numPr>
        <w:shd w:val="clear" w:color="auto" w:fill="F2F2F2" w:themeFill="background1" w:themeFillShade="F2"/>
        <w:spacing w:before="60" w:after="60"/>
        <w:ind w:left="567" w:hanging="567"/>
        <w:rPr>
          <w:rFonts w:ascii="Titillium" w:hAnsi="Titillium" w:cs="Calibri"/>
          <w:sz w:val="18"/>
          <w:szCs w:val="18"/>
        </w:rPr>
      </w:pPr>
      <w:r w:rsidRPr="00563D04">
        <w:rPr>
          <w:rFonts w:ascii="Titillium" w:hAnsi="Titillium" w:cs="Calibri"/>
          <w:b/>
          <w:bCs/>
          <w:i/>
          <w:iCs/>
          <w:sz w:val="18"/>
          <w:szCs w:val="18"/>
        </w:rPr>
        <w:t>[fino al 31 dicembre 2023]</w:t>
      </w:r>
      <w:r w:rsidRPr="00563D04">
        <w:rPr>
          <w:rFonts w:ascii="Titillium" w:hAnsi="Titillium" w:cs="Calibri"/>
          <w:sz w:val="18"/>
          <w:szCs w:val="18"/>
        </w:rPr>
        <w:t xml:space="preserve"> </w:t>
      </w:r>
      <w:r>
        <w:rPr>
          <w:rFonts w:ascii="Titillium" w:hAnsi="Titillium" w:cs="Calibri"/>
          <w:sz w:val="18"/>
          <w:szCs w:val="18"/>
        </w:rPr>
        <w:t>il PASSOE dell’ausiliaria</w:t>
      </w:r>
      <w:r w:rsidRPr="00563D04">
        <w:rPr>
          <w:rFonts w:ascii="Titillium" w:hAnsi="Titillium" w:cs="Calibri"/>
          <w:sz w:val="18"/>
          <w:szCs w:val="18"/>
        </w:rPr>
        <w:t>,</w:t>
      </w:r>
    </w:p>
    <w:p w14:paraId="42BBB743" w14:textId="77777777" w:rsidR="00276DF7" w:rsidRDefault="00276DF7" w:rsidP="00276DF7">
      <w:pPr>
        <w:pStyle w:val="Paragrafoelenco"/>
        <w:numPr>
          <w:ilvl w:val="2"/>
          <w:numId w:val="17"/>
        </w:numPr>
        <w:shd w:val="clear" w:color="auto" w:fill="F2F2F2" w:themeFill="background1" w:themeFillShade="F2"/>
        <w:spacing w:before="60" w:after="60"/>
        <w:ind w:left="567" w:hanging="567"/>
        <w:rPr>
          <w:rFonts w:ascii="Titillium" w:hAnsi="Titillium" w:cs="Calibri"/>
          <w:sz w:val="18"/>
          <w:szCs w:val="18"/>
        </w:rPr>
      </w:pPr>
      <w:r>
        <w:rPr>
          <w:rFonts w:ascii="Titillium" w:hAnsi="Titillium" w:cs="Calibri"/>
          <w:sz w:val="18"/>
          <w:szCs w:val="18"/>
        </w:rPr>
        <w:t>la dichiarazione di avvalimento;</w:t>
      </w:r>
    </w:p>
    <w:p w14:paraId="3672627A" w14:textId="77777777" w:rsidR="00276DF7" w:rsidRDefault="00276DF7" w:rsidP="00276DF7">
      <w:pPr>
        <w:pStyle w:val="Paragrafoelenco"/>
        <w:numPr>
          <w:ilvl w:val="2"/>
          <w:numId w:val="17"/>
        </w:numPr>
        <w:shd w:val="clear" w:color="auto" w:fill="F2F2F2" w:themeFill="background1" w:themeFillShade="F2"/>
        <w:spacing w:before="60" w:after="60"/>
        <w:ind w:left="567" w:hanging="567"/>
        <w:rPr>
          <w:rFonts w:ascii="Titillium" w:hAnsi="Titillium" w:cs="Calibri"/>
          <w:sz w:val="18"/>
          <w:szCs w:val="18"/>
        </w:rPr>
      </w:pPr>
      <w:r>
        <w:rPr>
          <w:rFonts w:ascii="Titillium" w:hAnsi="Titillium" w:cs="Calibri"/>
          <w:sz w:val="18"/>
          <w:szCs w:val="18"/>
        </w:rPr>
        <w:t>il contratto di avvalimento;</w:t>
      </w:r>
    </w:p>
    <w:p w14:paraId="5D38B3B1" w14:textId="77777777" w:rsidR="00276DF7" w:rsidRPr="000E2446" w:rsidRDefault="00276DF7" w:rsidP="00276DF7">
      <w:pPr>
        <w:shd w:val="clear" w:color="auto" w:fill="F2F2F2" w:themeFill="background1" w:themeFillShade="F2"/>
        <w:spacing w:before="60" w:after="60"/>
        <w:rPr>
          <w:rFonts w:ascii="Titillium" w:hAnsi="Titillium" w:cs="Calibri"/>
          <w:sz w:val="18"/>
          <w:szCs w:val="18"/>
        </w:rPr>
      </w:pPr>
      <w:r w:rsidRPr="000E2446">
        <w:rPr>
          <w:rFonts w:ascii="Titillium" w:hAnsi="Titillium" w:cs="Calibri"/>
          <w:sz w:val="18"/>
          <w:szCs w:val="18"/>
        </w:rPr>
        <w:t>Nel caso di avvalimento finalizzato al miglioramento dell’offerta, il contratto di avvalimento è presentato nell’offerta tecnica.</w:t>
      </w:r>
    </w:p>
    <w:p w14:paraId="6352712E" w14:textId="77777777" w:rsidR="00276DF7" w:rsidRDefault="00276DF7" w:rsidP="00276DF7">
      <w:pPr>
        <w:pStyle w:val="Titolo3"/>
        <w:numPr>
          <w:ilvl w:val="1"/>
          <w:numId w:val="4"/>
        </w:numPr>
        <w:shd w:val="clear" w:color="auto" w:fill="F2F2F2" w:themeFill="background1" w:themeFillShade="F2"/>
        <w:ind w:left="426" w:hanging="426"/>
        <w:rPr>
          <w:rFonts w:ascii="Titillium" w:hAnsi="Titillium"/>
          <w:sz w:val="18"/>
          <w:szCs w:val="18"/>
        </w:rPr>
      </w:pPr>
      <w:bookmarkStart w:id="1897" w:name="_Ref498427979"/>
      <w:bookmarkStart w:id="1898" w:name="_Toc139549441"/>
      <w:r>
        <w:rPr>
          <w:rFonts w:ascii="Titillium" w:hAnsi="Titillium"/>
          <w:caps w:val="0"/>
          <w:sz w:val="18"/>
          <w:szCs w:val="18"/>
        </w:rPr>
        <w:t>DOCUMENTAZIONE ULTERIORE PER I SOGGETTI ASSOCIATI</w:t>
      </w:r>
      <w:bookmarkEnd w:id="1897"/>
      <w:bookmarkEnd w:id="1898"/>
    </w:p>
    <w:p w14:paraId="6CCCD06B" w14:textId="77777777" w:rsidR="00276DF7" w:rsidRDefault="00276DF7" w:rsidP="00276DF7">
      <w:pPr>
        <w:shd w:val="clear" w:color="auto" w:fill="F2F2F2" w:themeFill="background1" w:themeFillShade="F2"/>
        <w:spacing w:before="60" w:after="60"/>
        <w:rPr>
          <w:rFonts w:ascii="Titillium" w:hAnsi="Titillium"/>
          <w:b/>
          <w:sz w:val="18"/>
          <w:szCs w:val="18"/>
        </w:rPr>
      </w:pPr>
      <w:r>
        <w:rPr>
          <w:rFonts w:ascii="Titillium" w:hAnsi="Titillium"/>
          <w:b/>
          <w:sz w:val="18"/>
          <w:szCs w:val="18"/>
        </w:rPr>
        <w:t>Per i raggruppamenti temporanei già costituiti</w:t>
      </w:r>
    </w:p>
    <w:p w14:paraId="0864897E" w14:textId="77777777" w:rsidR="00276DF7" w:rsidRPr="0019010B" w:rsidRDefault="00276DF7" w:rsidP="00276DF7">
      <w:pPr>
        <w:pStyle w:val="Paragrafoelenco"/>
        <w:numPr>
          <w:ilvl w:val="0"/>
          <w:numId w:val="23"/>
        </w:numPr>
        <w:shd w:val="clear" w:color="auto" w:fill="F2F2F2" w:themeFill="background1" w:themeFillShade="F2"/>
        <w:spacing w:before="60" w:after="60"/>
        <w:ind w:left="284" w:hanging="284"/>
        <w:rPr>
          <w:rFonts w:ascii="Titillium" w:hAnsi="Titillium" w:cs="Calibri"/>
          <w:sz w:val="18"/>
          <w:szCs w:val="18"/>
        </w:rPr>
      </w:pPr>
      <w:r>
        <w:rPr>
          <w:rFonts w:ascii="Titillium" w:hAnsi="Titillium" w:cs="Calibri"/>
          <w:sz w:val="18"/>
          <w:szCs w:val="18"/>
        </w:rPr>
        <w:lastRenderedPageBreak/>
        <w:t xml:space="preserve">copia del mandato collettivo irrevocabile con rappresentanza conferito alla mandataria per atto pubblico o scrittura </w:t>
      </w:r>
      <w:r w:rsidRPr="0019010B">
        <w:rPr>
          <w:rFonts w:ascii="Titillium" w:hAnsi="Titillium" w:cs="Calibri"/>
          <w:sz w:val="18"/>
          <w:szCs w:val="18"/>
        </w:rPr>
        <w:t>privata autenticata;</w:t>
      </w:r>
    </w:p>
    <w:p w14:paraId="13FB5A8D" w14:textId="77777777" w:rsidR="00276DF7" w:rsidRPr="0019010B" w:rsidRDefault="00276DF7" w:rsidP="00276DF7">
      <w:pPr>
        <w:pStyle w:val="Paragrafoelenco"/>
        <w:numPr>
          <w:ilvl w:val="0"/>
          <w:numId w:val="23"/>
        </w:numPr>
        <w:shd w:val="clear" w:color="auto" w:fill="F2F2F2" w:themeFill="background1" w:themeFillShade="F2"/>
        <w:spacing w:before="60" w:after="60"/>
        <w:ind w:left="284" w:hanging="284"/>
        <w:rPr>
          <w:rFonts w:ascii="Titillium" w:hAnsi="Titillium" w:cs="Calibri"/>
          <w:sz w:val="18"/>
          <w:szCs w:val="18"/>
        </w:rPr>
      </w:pPr>
      <w:r w:rsidRPr="0019010B">
        <w:rPr>
          <w:rFonts w:ascii="Titillium" w:hAnsi="Titillium" w:cs="Calibri"/>
          <w:sz w:val="18"/>
          <w:szCs w:val="18"/>
        </w:rPr>
        <w:t xml:space="preserve">dichiarazione delle parti del servizio/fornitura, ovvero della percentuale in caso di servizio/forniture indivisibili, che saranno eseguite dai singoli operatori economici riuniti o consorziati. </w:t>
      </w:r>
    </w:p>
    <w:p w14:paraId="2CCD9A68" w14:textId="77777777" w:rsidR="00276DF7" w:rsidRPr="0019010B" w:rsidRDefault="00276DF7" w:rsidP="00276DF7">
      <w:pPr>
        <w:shd w:val="clear" w:color="auto" w:fill="F2F2F2" w:themeFill="background1" w:themeFillShade="F2"/>
        <w:spacing w:before="60" w:after="60"/>
        <w:rPr>
          <w:rFonts w:ascii="Titillium" w:hAnsi="Titillium"/>
          <w:b/>
          <w:sz w:val="18"/>
          <w:szCs w:val="18"/>
        </w:rPr>
      </w:pPr>
      <w:r w:rsidRPr="0019010B">
        <w:rPr>
          <w:rFonts w:ascii="Titillium" w:hAnsi="Titillium"/>
          <w:b/>
          <w:sz w:val="18"/>
          <w:szCs w:val="18"/>
        </w:rPr>
        <w:t>Per i consorzi ordinari o GEIE già costituiti</w:t>
      </w:r>
    </w:p>
    <w:p w14:paraId="66A950AF" w14:textId="77777777" w:rsidR="00276DF7" w:rsidRPr="0019010B" w:rsidRDefault="00276DF7" w:rsidP="00276DF7">
      <w:pPr>
        <w:pStyle w:val="Paragrafoelenco"/>
        <w:numPr>
          <w:ilvl w:val="0"/>
          <w:numId w:val="23"/>
        </w:numPr>
        <w:shd w:val="clear" w:color="auto" w:fill="F2F2F2" w:themeFill="background1" w:themeFillShade="F2"/>
        <w:spacing w:before="60" w:after="60"/>
        <w:ind w:left="284" w:hanging="284"/>
        <w:rPr>
          <w:rFonts w:ascii="Titillium" w:hAnsi="Titillium" w:cs="Calibri"/>
          <w:sz w:val="18"/>
          <w:szCs w:val="18"/>
        </w:rPr>
      </w:pPr>
      <w:r w:rsidRPr="0019010B">
        <w:rPr>
          <w:rFonts w:ascii="Titillium" w:hAnsi="Titillium" w:cs="Calibri"/>
          <w:sz w:val="18"/>
          <w:szCs w:val="18"/>
        </w:rPr>
        <w:t xml:space="preserve">copia dell’atto costitutivo e dello statuto del consorzio o GEIE, con indicazione del soggetto designato quale capofila; </w:t>
      </w:r>
    </w:p>
    <w:p w14:paraId="08893FAA" w14:textId="77777777" w:rsidR="00276DF7" w:rsidRPr="0019010B" w:rsidRDefault="00276DF7" w:rsidP="00276DF7">
      <w:pPr>
        <w:pStyle w:val="Paragrafoelenco"/>
        <w:numPr>
          <w:ilvl w:val="0"/>
          <w:numId w:val="23"/>
        </w:numPr>
        <w:shd w:val="clear" w:color="auto" w:fill="F2F2F2" w:themeFill="background1" w:themeFillShade="F2"/>
        <w:spacing w:before="60" w:after="60"/>
        <w:ind w:left="284" w:hanging="284"/>
        <w:rPr>
          <w:rFonts w:ascii="Titillium" w:hAnsi="Titillium" w:cs="Calibri"/>
          <w:sz w:val="18"/>
          <w:szCs w:val="18"/>
        </w:rPr>
      </w:pPr>
      <w:r w:rsidRPr="0019010B">
        <w:rPr>
          <w:rFonts w:ascii="Titillium" w:hAnsi="Titillium" w:cs="Calibri"/>
          <w:sz w:val="18"/>
          <w:szCs w:val="18"/>
        </w:rPr>
        <w:t xml:space="preserve">dichiarazione sottoscritta delle parti del servizio/fornitura, ovvero la percentuale in caso di servizi/forniture indivisibili, che saranno eseguite dai singoli operatori economici consorziati. </w:t>
      </w:r>
    </w:p>
    <w:p w14:paraId="145C1A6D" w14:textId="77777777" w:rsidR="00276DF7" w:rsidRPr="0019010B" w:rsidRDefault="00276DF7" w:rsidP="00276DF7">
      <w:pPr>
        <w:shd w:val="clear" w:color="auto" w:fill="F2F2F2" w:themeFill="background1" w:themeFillShade="F2"/>
        <w:spacing w:before="60" w:after="60"/>
        <w:rPr>
          <w:rFonts w:ascii="Titillium" w:hAnsi="Titillium"/>
          <w:b/>
          <w:sz w:val="18"/>
          <w:szCs w:val="18"/>
        </w:rPr>
      </w:pPr>
      <w:r w:rsidRPr="0019010B">
        <w:rPr>
          <w:rFonts w:ascii="Titillium" w:hAnsi="Titillium"/>
          <w:b/>
          <w:sz w:val="18"/>
          <w:szCs w:val="18"/>
        </w:rPr>
        <w:t>Per i raggruppamenti temporanei o consorzi ordinari o GEIE non ancora costituiti</w:t>
      </w:r>
    </w:p>
    <w:p w14:paraId="2C6E8DE2" w14:textId="77777777" w:rsidR="00276DF7" w:rsidRPr="0019010B" w:rsidRDefault="00276DF7" w:rsidP="00276DF7">
      <w:pPr>
        <w:pStyle w:val="Paragrafoelenco"/>
        <w:numPr>
          <w:ilvl w:val="0"/>
          <w:numId w:val="23"/>
        </w:numPr>
        <w:shd w:val="clear" w:color="auto" w:fill="F2F2F2" w:themeFill="background1" w:themeFillShade="F2"/>
        <w:spacing w:before="60" w:after="60"/>
        <w:ind w:left="284" w:hanging="284"/>
        <w:rPr>
          <w:rFonts w:ascii="Titillium" w:hAnsi="Titillium" w:cs="Calibri"/>
          <w:sz w:val="18"/>
          <w:szCs w:val="18"/>
        </w:rPr>
      </w:pPr>
      <w:r w:rsidRPr="0019010B">
        <w:rPr>
          <w:rFonts w:ascii="Titillium" w:hAnsi="Titillium" w:cs="Calibri"/>
          <w:sz w:val="18"/>
          <w:szCs w:val="18"/>
        </w:rPr>
        <w:t xml:space="preserve"> dichiarazione rese da ciascun concorrente, attestante:</w:t>
      </w:r>
    </w:p>
    <w:p w14:paraId="2845D91D" w14:textId="77777777" w:rsidR="00276DF7" w:rsidRPr="0019010B" w:rsidRDefault="00276DF7" w:rsidP="00276DF7">
      <w:pPr>
        <w:numPr>
          <w:ilvl w:val="0"/>
          <w:numId w:val="13"/>
        </w:numPr>
        <w:shd w:val="clear" w:color="auto" w:fill="F2F2F2" w:themeFill="background1" w:themeFillShade="F2"/>
        <w:spacing w:before="60" w:after="60" w:line="276" w:lineRule="auto"/>
        <w:ind w:left="709" w:hanging="284"/>
        <w:jc w:val="both"/>
        <w:rPr>
          <w:rFonts w:ascii="Titillium" w:hAnsi="Titillium" w:cs="Calibri"/>
          <w:sz w:val="18"/>
          <w:szCs w:val="18"/>
        </w:rPr>
      </w:pPr>
      <w:r w:rsidRPr="0019010B">
        <w:rPr>
          <w:rFonts w:ascii="Titillium" w:hAnsi="Titillium" w:cs="Calibri"/>
          <w:sz w:val="18"/>
          <w:szCs w:val="18"/>
        </w:rPr>
        <w:t>a quale operatore economico, in caso di aggiudicazione, sarà conferito mandato speciale con rappresentanza o funzioni di capogruppo;</w:t>
      </w:r>
    </w:p>
    <w:p w14:paraId="1AA7085A" w14:textId="77777777" w:rsidR="00276DF7" w:rsidRPr="0019010B" w:rsidRDefault="00276DF7" w:rsidP="00276DF7">
      <w:pPr>
        <w:numPr>
          <w:ilvl w:val="0"/>
          <w:numId w:val="13"/>
        </w:numPr>
        <w:shd w:val="clear" w:color="auto" w:fill="F2F2F2" w:themeFill="background1" w:themeFillShade="F2"/>
        <w:spacing w:before="60" w:after="60" w:line="276" w:lineRule="auto"/>
        <w:ind w:left="709" w:hanging="284"/>
        <w:jc w:val="both"/>
      </w:pPr>
      <w:r w:rsidRPr="0019010B">
        <w:rPr>
          <w:rFonts w:ascii="Titillium" w:hAnsi="Titillium" w:cs="Calibri"/>
          <w:sz w:val="18"/>
          <w:szCs w:val="18"/>
        </w:rPr>
        <w:t>l’impegno,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14F81DDE" w14:textId="77777777" w:rsidR="00276DF7" w:rsidRPr="0019010B" w:rsidRDefault="00276DF7" w:rsidP="00276DF7">
      <w:pPr>
        <w:numPr>
          <w:ilvl w:val="0"/>
          <w:numId w:val="13"/>
        </w:numPr>
        <w:shd w:val="clear" w:color="auto" w:fill="F2F2F2" w:themeFill="background1" w:themeFillShade="F2"/>
        <w:spacing w:before="60" w:after="60" w:line="276" w:lineRule="auto"/>
        <w:ind w:left="709" w:hanging="284"/>
        <w:jc w:val="both"/>
      </w:pPr>
      <w:r w:rsidRPr="0019010B">
        <w:rPr>
          <w:rFonts w:ascii="Titillium" w:hAnsi="Titillium" w:cs="Calibri"/>
          <w:sz w:val="18"/>
          <w:szCs w:val="18"/>
        </w:rPr>
        <w:t xml:space="preserve">le parti del servizio/fornitura, ovvero la percentuale in caso di servizio/forniture indivisibili, che saranno eseguite dai singoli operatori economici riuniti o consorziati. </w:t>
      </w:r>
    </w:p>
    <w:p w14:paraId="0D9E97D5" w14:textId="77777777" w:rsidR="00276DF7" w:rsidRPr="0019010B" w:rsidRDefault="00276DF7" w:rsidP="00276DF7">
      <w:pPr>
        <w:shd w:val="clear" w:color="auto" w:fill="F2F2F2" w:themeFill="background1" w:themeFillShade="F2"/>
        <w:spacing w:before="60" w:after="60"/>
        <w:rPr>
          <w:rFonts w:ascii="Titillium" w:hAnsi="Titillium"/>
          <w:b/>
          <w:sz w:val="18"/>
          <w:szCs w:val="18"/>
        </w:rPr>
      </w:pPr>
      <w:r w:rsidRPr="0019010B">
        <w:rPr>
          <w:rFonts w:ascii="Titillium" w:hAnsi="Titillium"/>
          <w:b/>
          <w:sz w:val="18"/>
          <w:szCs w:val="18"/>
        </w:rPr>
        <w:t>Per le aggregazioni di retisti: se la rete è dotata di un organo comune con potere di rappresentanza e soggettività giuridica</w:t>
      </w:r>
    </w:p>
    <w:p w14:paraId="1833731D" w14:textId="77777777" w:rsidR="00276DF7" w:rsidRPr="0019010B" w:rsidRDefault="00276DF7" w:rsidP="00276DF7">
      <w:pPr>
        <w:pStyle w:val="Paragrafoelenco"/>
        <w:numPr>
          <w:ilvl w:val="0"/>
          <w:numId w:val="14"/>
        </w:numPr>
        <w:shd w:val="clear" w:color="auto" w:fill="F2F2F2" w:themeFill="background1" w:themeFillShade="F2"/>
        <w:spacing w:before="60" w:after="60"/>
        <w:rPr>
          <w:rFonts w:ascii="Titillium" w:hAnsi="Titillium" w:cs="Calibri"/>
          <w:sz w:val="18"/>
          <w:szCs w:val="18"/>
        </w:rPr>
      </w:pPr>
      <w:r w:rsidRPr="0019010B">
        <w:rPr>
          <w:rFonts w:ascii="Titillium" w:hAnsi="Titillium" w:cs="Calibri"/>
          <w:sz w:val="18"/>
          <w:szCs w:val="18"/>
        </w:rPr>
        <w:t>copia del contratto di rete, con indicazione dell’organo comune che agisce in rappresentanza della rete.</w:t>
      </w:r>
    </w:p>
    <w:p w14:paraId="08D3E3E0" w14:textId="77777777" w:rsidR="00276DF7" w:rsidRPr="0019010B" w:rsidRDefault="00276DF7" w:rsidP="00276DF7">
      <w:pPr>
        <w:pStyle w:val="Paragrafoelenco"/>
        <w:numPr>
          <w:ilvl w:val="0"/>
          <w:numId w:val="14"/>
        </w:numPr>
        <w:shd w:val="clear" w:color="auto" w:fill="F2F2F2" w:themeFill="background1" w:themeFillShade="F2"/>
        <w:spacing w:before="60" w:after="60"/>
        <w:rPr>
          <w:rFonts w:ascii="Titillium" w:hAnsi="Titillium" w:cs="Calibri"/>
          <w:sz w:val="18"/>
          <w:szCs w:val="18"/>
        </w:rPr>
      </w:pPr>
      <w:r w:rsidRPr="0019010B">
        <w:rPr>
          <w:rFonts w:ascii="Titillium" w:hAnsi="Titillium" w:cs="Calibri"/>
          <w:sz w:val="18"/>
          <w:szCs w:val="18"/>
        </w:rPr>
        <w:t xml:space="preserve">dichiarazione che indichi per quali imprese la rete concorre; </w:t>
      </w:r>
    </w:p>
    <w:p w14:paraId="43D9AEAA" w14:textId="77777777" w:rsidR="00276DF7" w:rsidRPr="0019010B" w:rsidRDefault="00276DF7" w:rsidP="00276DF7">
      <w:pPr>
        <w:pStyle w:val="Paragrafoelenco"/>
        <w:numPr>
          <w:ilvl w:val="0"/>
          <w:numId w:val="14"/>
        </w:numPr>
        <w:shd w:val="clear" w:color="auto" w:fill="F2F2F2" w:themeFill="background1" w:themeFillShade="F2"/>
        <w:spacing w:before="60" w:after="60"/>
        <w:rPr>
          <w:rFonts w:ascii="Titillium" w:hAnsi="Titillium" w:cs="Calibri"/>
          <w:sz w:val="18"/>
          <w:szCs w:val="18"/>
        </w:rPr>
      </w:pPr>
      <w:r w:rsidRPr="0019010B">
        <w:rPr>
          <w:rFonts w:ascii="Titillium" w:hAnsi="Titillium" w:cs="Calibri"/>
          <w:sz w:val="18"/>
          <w:szCs w:val="18"/>
        </w:rPr>
        <w:t xml:space="preserve">dichiarazione sottoscritta con firma digitale delle parti del servizio o della fornitura, ovvero la percentuale in caso di servizio/forniture indivisibili, che saranno eseguite dai singoli operatori economici aggregati in rete. </w:t>
      </w:r>
    </w:p>
    <w:p w14:paraId="110E82A2" w14:textId="77777777" w:rsidR="00276DF7" w:rsidRPr="0019010B" w:rsidRDefault="00276DF7" w:rsidP="00276DF7">
      <w:pPr>
        <w:shd w:val="clear" w:color="auto" w:fill="F2F2F2" w:themeFill="background1" w:themeFillShade="F2"/>
        <w:spacing w:before="60" w:after="60"/>
        <w:rPr>
          <w:rFonts w:ascii="Titillium" w:hAnsi="Titillium"/>
          <w:b/>
          <w:sz w:val="18"/>
          <w:szCs w:val="18"/>
        </w:rPr>
      </w:pPr>
      <w:r w:rsidRPr="0019010B">
        <w:rPr>
          <w:rFonts w:ascii="Titillium" w:hAnsi="Titillium"/>
          <w:b/>
          <w:sz w:val="18"/>
          <w:szCs w:val="18"/>
        </w:rPr>
        <w:t>Per le aggregazioni di retisti: se la rete è dotata di un organo comune con potere di rappresentanza ma è priva di soggettività giuridica</w:t>
      </w:r>
    </w:p>
    <w:p w14:paraId="74B63047" w14:textId="77777777" w:rsidR="00276DF7" w:rsidRPr="0019010B" w:rsidRDefault="00276DF7" w:rsidP="00276DF7">
      <w:pPr>
        <w:pStyle w:val="Paragrafoelenco"/>
        <w:numPr>
          <w:ilvl w:val="0"/>
          <w:numId w:val="14"/>
        </w:numPr>
        <w:shd w:val="clear" w:color="auto" w:fill="F2F2F2" w:themeFill="background1" w:themeFillShade="F2"/>
        <w:spacing w:before="60" w:after="60"/>
        <w:ind w:left="709" w:hanging="425"/>
        <w:rPr>
          <w:rFonts w:ascii="Titillium" w:hAnsi="Titillium" w:cs="Calibri"/>
          <w:sz w:val="18"/>
          <w:szCs w:val="18"/>
        </w:rPr>
      </w:pPr>
      <w:r w:rsidRPr="0019010B">
        <w:rPr>
          <w:rFonts w:ascii="Titillium" w:hAnsi="Titillium" w:cs="Calibri"/>
          <w:sz w:val="18"/>
          <w:szCs w:val="18"/>
        </w:rPr>
        <w:t>copia del contratto di rete;</w:t>
      </w:r>
    </w:p>
    <w:p w14:paraId="0C67132D" w14:textId="77777777" w:rsidR="00276DF7" w:rsidRPr="0019010B" w:rsidRDefault="00276DF7" w:rsidP="00276DF7">
      <w:pPr>
        <w:pStyle w:val="Paragrafoelenco"/>
        <w:numPr>
          <w:ilvl w:val="0"/>
          <w:numId w:val="14"/>
        </w:numPr>
        <w:shd w:val="clear" w:color="auto" w:fill="F2F2F2" w:themeFill="background1" w:themeFillShade="F2"/>
        <w:spacing w:before="60" w:after="60"/>
        <w:ind w:left="709" w:hanging="425"/>
        <w:rPr>
          <w:rFonts w:ascii="Titillium" w:hAnsi="Titillium" w:cs="Calibri"/>
          <w:sz w:val="18"/>
          <w:szCs w:val="18"/>
        </w:rPr>
      </w:pPr>
      <w:r w:rsidRPr="0019010B">
        <w:rPr>
          <w:rFonts w:ascii="Titillium" w:hAnsi="Titillium" w:cs="Calibri"/>
          <w:sz w:val="18"/>
          <w:szCs w:val="18"/>
        </w:rPr>
        <w:t xml:space="preserve">copia del mandato collettivo irrevocabile con rappresentanza conferito all’organo comune; </w:t>
      </w:r>
    </w:p>
    <w:p w14:paraId="695750BB" w14:textId="77777777" w:rsidR="00276DF7" w:rsidRPr="0019010B" w:rsidRDefault="00276DF7" w:rsidP="00276DF7">
      <w:pPr>
        <w:pStyle w:val="Paragrafoelenco"/>
        <w:numPr>
          <w:ilvl w:val="0"/>
          <w:numId w:val="14"/>
        </w:numPr>
        <w:shd w:val="clear" w:color="auto" w:fill="F2F2F2" w:themeFill="background1" w:themeFillShade="F2"/>
        <w:spacing w:before="60" w:after="60"/>
        <w:ind w:left="709" w:hanging="425"/>
        <w:rPr>
          <w:rFonts w:ascii="Titillium" w:hAnsi="Titillium" w:cs="Calibri"/>
          <w:sz w:val="18"/>
          <w:szCs w:val="18"/>
        </w:rPr>
      </w:pPr>
      <w:r w:rsidRPr="0019010B">
        <w:rPr>
          <w:rFonts w:ascii="Titillium" w:hAnsi="Titillium" w:cs="Calibri"/>
          <w:sz w:val="18"/>
          <w:szCs w:val="18"/>
        </w:rPr>
        <w:t>dichiarazione delle parti del servizio o della fornitura, ovvero la percentuale in caso di servizio/forniture indivisibili, che saranno eseguite dai singoli operatori economici aggregati in rete.</w:t>
      </w:r>
    </w:p>
    <w:p w14:paraId="55C0F64A" w14:textId="77777777" w:rsidR="00276DF7" w:rsidRPr="0019010B" w:rsidRDefault="00276DF7" w:rsidP="00276DF7">
      <w:pPr>
        <w:shd w:val="clear" w:color="auto" w:fill="F2F2F2" w:themeFill="background1" w:themeFillShade="F2"/>
        <w:spacing w:before="60" w:after="60"/>
        <w:rPr>
          <w:rFonts w:ascii="Titillium" w:hAnsi="Titillium"/>
          <w:b/>
          <w:sz w:val="18"/>
          <w:szCs w:val="18"/>
        </w:rPr>
      </w:pPr>
      <w:r w:rsidRPr="0019010B">
        <w:rPr>
          <w:rFonts w:ascii="Titillium" w:hAnsi="Titillium"/>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6B56559" w14:textId="77777777" w:rsidR="00276DF7" w:rsidRPr="0019010B" w:rsidRDefault="00276DF7" w:rsidP="00276DF7">
      <w:pPr>
        <w:pStyle w:val="Paragrafoelenco"/>
        <w:numPr>
          <w:ilvl w:val="0"/>
          <w:numId w:val="14"/>
        </w:numPr>
        <w:shd w:val="clear" w:color="auto" w:fill="F2F2F2" w:themeFill="background1" w:themeFillShade="F2"/>
        <w:spacing w:before="60" w:after="60"/>
      </w:pPr>
      <w:r w:rsidRPr="0019010B">
        <w:rPr>
          <w:rFonts w:ascii="Titillium" w:hAnsi="Titillium" w:cs="Calibri"/>
          <w:b/>
          <w:sz w:val="18"/>
          <w:szCs w:val="18"/>
        </w:rPr>
        <w:t>in caso di raggruppamento temporaneo di imprese costituito</w:t>
      </w:r>
      <w:r w:rsidRPr="0019010B">
        <w:rPr>
          <w:rFonts w:ascii="Titillium" w:hAnsi="Titillium" w:cs="Calibri"/>
          <w:sz w:val="18"/>
          <w:szCs w:val="18"/>
        </w:rPr>
        <w:t xml:space="preserve">: </w:t>
      </w:r>
    </w:p>
    <w:p w14:paraId="57FDF9D2" w14:textId="77777777" w:rsidR="00276DF7" w:rsidRPr="0019010B" w:rsidRDefault="00276DF7" w:rsidP="00276DF7">
      <w:pPr>
        <w:pStyle w:val="Paragrafoelenco"/>
        <w:numPr>
          <w:ilvl w:val="0"/>
          <w:numId w:val="14"/>
        </w:numPr>
        <w:shd w:val="clear" w:color="auto" w:fill="F2F2F2" w:themeFill="background1" w:themeFillShade="F2"/>
        <w:spacing w:before="60" w:after="60"/>
        <w:ind w:left="851" w:hanging="142"/>
        <w:rPr>
          <w:rFonts w:ascii="Titillium" w:hAnsi="Titillium" w:cs="Calibri"/>
          <w:sz w:val="18"/>
          <w:szCs w:val="18"/>
        </w:rPr>
      </w:pPr>
      <w:r w:rsidRPr="0019010B">
        <w:rPr>
          <w:rFonts w:ascii="Titillium" w:hAnsi="Titillium" w:cs="Calibri"/>
          <w:sz w:val="18"/>
          <w:szCs w:val="18"/>
        </w:rPr>
        <w:t>copia del contratto di rete</w:t>
      </w:r>
    </w:p>
    <w:p w14:paraId="4565DC1C" w14:textId="77777777" w:rsidR="00276DF7" w:rsidRPr="0019010B" w:rsidRDefault="00276DF7" w:rsidP="00276DF7">
      <w:pPr>
        <w:pStyle w:val="Paragrafoelenco"/>
        <w:numPr>
          <w:ilvl w:val="0"/>
          <w:numId w:val="14"/>
        </w:numPr>
        <w:shd w:val="clear" w:color="auto" w:fill="F2F2F2" w:themeFill="background1" w:themeFillShade="F2"/>
        <w:spacing w:before="60" w:after="60"/>
        <w:ind w:left="851" w:hanging="142"/>
        <w:rPr>
          <w:rFonts w:ascii="Titillium" w:hAnsi="Titillium" w:cs="Calibri"/>
          <w:sz w:val="18"/>
          <w:szCs w:val="18"/>
        </w:rPr>
      </w:pPr>
      <w:r w:rsidRPr="0019010B">
        <w:rPr>
          <w:rFonts w:ascii="Titillium" w:hAnsi="Titillium" w:cs="Calibri"/>
          <w:sz w:val="18"/>
          <w:szCs w:val="18"/>
        </w:rPr>
        <w:t>copia del mandato collettivo irrevocabile con rappresentanza conferito alla mandataria</w:t>
      </w:r>
    </w:p>
    <w:p w14:paraId="6FB9EA72" w14:textId="77777777" w:rsidR="00276DF7" w:rsidRPr="0019010B" w:rsidRDefault="00276DF7" w:rsidP="00276DF7">
      <w:pPr>
        <w:pStyle w:val="Paragrafoelenco"/>
        <w:numPr>
          <w:ilvl w:val="0"/>
          <w:numId w:val="14"/>
        </w:numPr>
        <w:shd w:val="clear" w:color="auto" w:fill="F2F2F2" w:themeFill="background1" w:themeFillShade="F2"/>
        <w:spacing w:before="60" w:after="60"/>
        <w:ind w:left="851" w:hanging="142"/>
        <w:rPr>
          <w:rFonts w:ascii="Titillium" w:hAnsi="Titillium" w:cs="Calibri"/>
          <w:sz w:val="18"/>
          <w:szCs w:val="18"/>
        </w:rPr>
      </w:pPr>
      <w:r w:rsidRPr="0019010B">
        <w:rPr>
          <w:rFonts w:ascii="Titillium" w:hAnsi="Titillium" w:cs="Calibri"/>
          <w:sz w:val="18"/>
          <w:szCs w:val="18"/>
        </w:rPr>
        <w:t>dichiarazione delle parti del servizio o della fornitura, ovvero la percentuale in caso di servizio/forniture indivisibili, che saranno eseguite dai singoli operatori economici aggregati in rete.</w:t>
      </w:r>
    </w:p>
    <w:p w14:paraId="4A64142B" w14:textId="77777777" w:rsidR="00276DF7" w:rsidRPr="0019010B" w:rsidRDefault="00276DF7" w:rsidP="00276DF7">
      <w:pPr>
        <w:pStyle w:val="Paragrafoelenco"/>
        <w:numPr>
          <w:ilvl w:val="0"/>
          <w:numId w:val="14"/>
        </w:numPr>
        <w:shd w:val="clear" w:color="auto" w:fill="F2F2F2" w:themeFill="background1" w:themeFillShade="F2"/>
        <w:spacing w:before="60" w:after="60"/>
      </w:pPr>
      <w:r w:rsidRPr="0019010B">
        <w:rPr>
          <w:rFonts w:ascii="Titillium" w:hAnsi="Titillium" w:cs="Calibri"/>
          <w:b/>
          <w:sz w:val="18"/>
          <w:szCs w:val="18"/>
        </w:rPr>
        <w:t>in caso di raggruppamento temporaneo di imprese costituendo</w:t>
      </w:r>
      <w:r w:rsidRPr="0019010B">
        <w:rPr>
          <w:rFonts w:ascii="Titillium" w:hAnsi="Titillium" w:cs="Calibri"/>
          <w:sz w:val="18"/>
          <w:szCs w:val="18"/>
        </w:rPr>
        <w:t xml:space="preserve">: </w:t>
      </w:r>
    </w:p>
    <w:p w14:paraId="7C66A017" w14:textId="77777777" w:rsidR="00276DF7" w:rsidRPr="0019010B" w:rsidRDefault="00276DF7" w:rsidP="00276DF7">
      <w:pPr>
        <w:pStyle w:val="Paragrafoelenco"/>
        <w:numPr>
          <w:ilvl w:val="0"/>
          <w:numId w:val="14"/>
        </w:numPr>
        <w:shd w:val="clear" w:color="auto" w:fill="F2F2F2" w:themeFill="background1" w:themeFillShade="F2"/>
        <w:spacing w:before="60" w:after="60"/>
        <w:ind w:left="851" w:hanging="142"/>
        <w:rPr>
          <w:rFonts w:ascii="Titillium" w:hAnsi="Titillium" w:cs="Calibri"/>
          <w:sz w:val="18"/>
          <w:szCs w:val="18"/>
        </w:rPr>
      </w:pPr>
      <w:r w:rsidRPr="0019010B">
        <w:rPr>
          <w:rFonts w:ascii="Titillium" w:hAnsi="Titillium" w:cs="Calibri"/>
          <w:sz w:val="18"/>
          <w:szCs w:val="18"/>
        </w:rPr>
        <w:t>copia del contratto di rete</w:t>
      </w:r>
    </w:p>
    <w:p w14:paraId="081896D5" w14:textId="77777777" w:rsidR="00276DF7" w:rsidRPr="0019010B" w:rsidRDefault="00276DF7" w:rsidP="00276DF7">
      <w:pPr>
        <w:pStyle w:val="Paragrafoelenco"/>
        <w:numPr>
          <w:ilvl w:val="0"/>
          <w:numId w:val="14"/>
        </w:numPr>
        <w:shd w:val="clear" w:color="auto" w:fill="F2F2F2" w:themeFill="background1" w:themeFillShade="F2"/>
        <w:spacing w:before="60" w:after="60"/>
        <w:ind w:left="851" w:hanging="142"/>
        <w:rPr>
          <w:rFonts w:ascii="Titillium" w:hAnsi="Titillium" w:cs="Calibri"/>
          <w:sz w:val="18"/>
          <w:szCs w:val="18"/>
        </w:rPr>
      </w:pPr>
      <w:r w:rsidRPr="0019010B">
        <w:rPr>
          <w:rFonts w:ascii="Titillium" w:hAnsi="Titillium" w:cs="Calibri"/>
          <w:sz w:val="18"/>
          <w:szCs w:val="18"/>
        </w:rPr>
        <w:t>dichiarazioni, rese da ciascun concorrente aderente all’aggregazione di rete, attestanti:</w:t>
      </w:r>
    </w:p>
    <w:p w14:paraId="325F2240" w14:textId="77777777" w:rsidR="00276DF7" w:rsidRPr="0019010B" w:rsidRDefault="00276DF7" w:rsidP="00276DF7">
      <w:pPr>
        <w:numPr>
          <w:ilvl w:val="3"/>
          <w:numId w:val="15"/>
        </w:numPr>
        <w:shd w:val="clear" w:color="auto" w:fill="F2F2F2" w:themeFill="background1" w:themeFillShade="F2"/>
        <w:spacing w:before="60" w:after="60" w:line="276" w:lineRule="auto"/>
        <w:ind w:left="1276" w:hanging="284"/>
        <w:jc w:val="both"/>
        <w:rPr>
          <w:rFonts w:ascii="Titillium" w:hAnsi="Titillium" w:cs="Calibri"/>
          <w:sz w:val="18"/>
          <w:szCs w:val="18"/>
        </w:rPr>
      </w:pPr>
      <w:r w:rsidRPr="0019010B">
        <w:rPr>
          <w:rFonts w:ascii="Titillium" w:hAnsi="Titillium" w:cs="Calibri"/>
          <w:sz w:val="18"/>
          <w:szCs w:val="18"/>
        </w:rPr>
        <w:lastRenderedPageBreak/>
        <w:t>a quale concorrente, in caso di aggiudicazione, sarà conferito mandato speciale con rappresentanza o funzioni di capogruppo;</w:t>
      </w:r>
    </w:p>
    <w:p w14:paraId="06B1C5EC" w14:textId="77777777" w:rsidR="00276DF7" w:rsidRPr="0019010B" w:rsidRDefault="00276DF7" w:rsidP="00276DF7">
      <w:pPr>
        <w:numPr>
          <w:ilvl w:val="3"/>
          <w:numId w:val="15"/>
        </w:numPr>
        <w:shd w:val="clear" w:color="auto" w:fill="F2F2F2" w:themeFill="background1" w:themeFillShade="F2"/>
        <w:spacing w:before="60" w:after="60" w:line="276" w:lineRule="auto"/>
        <w:ind w:left="1276" w:hanging="284"/>
        <w:jc w:val="both"/>
        <w:rPr>
          <w:rFonts w:ascii="Titillium" w:hAnsi="Titillium" w:cs="Calibri"/>
          <w:sz w:val="18"/>
          <w:szCs w:val="18"/>
        </w:rPr>
      </w:pPr>
      <w:r w:rsidRPr="0019010B">
        <w:rPr>
          <w:rFonts w:ascii="Titillium" w:hAnsi="Titillium" w:cs="Calibri"/>
          <w:sz w:val="18"/>
          <w:szCs w:val="18"/>
        </w:rPr>
        <w:t>l’impegno, in caso di aggiudicazione, ad uniformarsi alla disciplina vigente in materia di raggruppamenti temporanei;</w:t>
      </w:r>
    </w:p>
    <w:p w14:paraId="6D02ABF3" w14:textId="77777777" w:rsidR="00276DF7" w:rsidRPr="0019010B" w:rsidRDefault="00276DF7" w:rsidP="00276DF7">
      <w:pPr>
        <w:numPr>
          <w:ilvl w:val="3"/>
          <w:numId w:val="15"/>
        </w:numPr>
        <w:shd w:val="clear" w:color="auto" w:fill="F2F2F2" w:themeFill="background1" w:themeFillShade="F2"/>
        <w:spacing w:before="60" w:after="60" w:line="276" w:lineRule="auto"/>
        <w:ind w:left="1276" w:hanging="284"/>
        <w:jc w:val="both"/>
        <w:rPr>
          <w:rFonts w:ascii="Titillium" w:hAnsi="Titillium" w:cs="Calibri"/>
          <w:sz w:val="18"/>
          <w:szCs w:val="18"/>
        </w:rPr>
      </w:pPr>
      <w:r w:rsidRPr="0019010B">
        <w:rPr>
          <w:rFonts w:ascii="Titillium" w:hAnsi="Titillium" w:cs="Calibri"/>
          <w:sz w:val="18"/>
          <w:szCs w:val="18"/>
        </w:rPr>
        <w:t>le parti del servizio o della fornitura, ovvero la percentuale in caso di servizio/forniture indivisibili, che saranno eseguite dai singoli operatori economici aggregati in rete.</w:t>
      </w:r>
    </w:p>
    <w:p w14:paraId="1A8B727B" w14:textId="77777777" w:rsidR="00276DF7" w:rsidRPr="0019010B" w:rsidRDefault="00276DF7" w:rsidP="00276DF7">
      <w:pPr>
        <w:pStyle w:val="Titolo2"/>
        <w:numPr>
          <w:ilvl w:val="0"/>
          <w:numId w:val="4"/>
        </w:numPr>
        <w:shd w:val="clear" w:color="auto" w:fill="F2F2F2" w:themeFill="background1" w:themeFillShade="F2"/>
        <w:ind w:left="357" w:hanging="357"/>
      </w:pPr>
      <w:r w:rsidRPr="0019010B">
        <w:rPr>
          <w:rFonts w:ascii="Titillium" w:hAnsi="Titillium"/>
          <w:sz w:val="18"/>
          <w:szCs w:val="18"/>
          <w:lang w:val="it-IT"/>
        </w:rPr>
        <w:t xml:space="preserve"> </w:t>
      </w:r>
      <w:bookmarkStart w:id="1899" w:name="_Toc139549442"/>
      <w:r w:rsidRPr="0019010B">
        <w:rPr>
          <w:rFonts w:ascii="Titillium" w:hAnsi="Titillium"/>
          <w:sz w:val="18"/>
          <w:szCs w:val="18"/>
          <w:lang w:val="it-IT"/>
        </w:rPr>
        <w:t>OFFERTA TECNICA</w:t>
      </w:r>
      <w:bookmarkEnd w:id="1899"/>
    </w:p>
    <w:p w14:paraId="72B38D0E" w14:textId="77777777" w:rsidR="00276DF7" w:rsidRPr="00EB523E" w:rsidRDefault="00276DF7" w:rsidP="00276DF7">
      <w:pPr>
        <w:shd w:val="clear" w:color="auto" w:fill="F2F2F2" w:themeFill="background1" w:themeFillShade="F2"/>
        <w:spacing w:before="60" w:after="60"/>
      </w:pPr>
      <w:bookmarkStart w:id="1900" w:name="_Toc406058382"/>
      <w:bookmarkStart w:id="1901" w:name="_Toc407013507"/>
      <w:bookmarkStart w:id="1902" w:name="_Toc406754183"/>
      <w:bookmarkEnd w:id="1900"/>
      <w:bookmarkEnd w:id="1901"/>
      <w:bookmarkEnd w:id="1902"/>
      <w:r w:rsidRPr="0019010B">
        <w:rPr>
          <w:rFonts w:ascii="Titillium" w:hAnsi="Titillium" w:cs="Calibri"/>
          <w:sz w:val="18"/>
          <w:szCs w:val="18"/>
        </w:rPr>
        <w:t xml:space="preserve">L’operatore economico inserisce </w:t>
      </w:r>
      <w:r w:rsidRPr="00DD2F52">
        <w:rPr>
          <w:rFonts w:ascii="Titillium" w:hAnsi="Titillium" w:cs="Calibri"/>
          <w:i/>
          <w:iCs/>
          <w:sz w:val="18"/>
          <w:szCs w:val="18"/>
        </w:rPr>
        <w:t>[</w:t>
      </w:r>
      <w:r>
        <w:rPr>
          <w:rFonts w:ascii="Titillium" w:hAnsi="Titillium" w:cs="Calibri"/>
          <w:i/>
          <w:iCs/>
          <w:sz w:val="18"/>
          <w:szCs w:val="18"/>
        </w:rPr>
        <w:t>i</w:t>
      </w:r>
      <w:r w:rsidRPr="00DD2F52">
        <w:rPr>
          <w:rFonts w:ascii="Titillium" w:hAnsi="Titillium" w:cs="Calibri"/>
          <w:i/>
          <w:iCs/>
          <w:sz w:val="18"/>
          <w:szCs w:val="18"/>
        </w:rPr>
        <w:t xml:space="preserve">n caso di gara </w:t>
      </w:r>
      <w:r>
        <w:rPr>
          <w:rFonts w:ascii="Titillium" w:hAnsi="Titillium" w:cs="Calibri"/>
          <w:i/>
          <w:iCs/>
          <w:sz w:val="18"/>
          <w:szCs w:val="18"/>
        </w:rPr>
        <w:t>a</w:t>
      </w:r>
      <w:r w:rsidRPr="00DD2F52">
        <w:rPr>
          <w:rFonts w:ascii="Titillium" w:hAnsi="Titillium" w:cs="Calibri"/>
          <w:i/>
          <w:iCs/>
          <w:sz w:val="18"/>
          <w:szCs w:val="18"/>
        </w:rPr>
        <w:t xml:space="preserve"> lotti inserire</w:t>
      </w:r>
      <w:r w:rsidRPr="0019010B">
        <w:rPr>
          <w:rFonts w:ascii="Titillium" w:hAnsi="Titillium" w:cs="Calibri"/>
          <w:sz w:val="18"/>
          <w:szCs w:val="18"/>
        </w:rPr>
        <w:t xml:space="preserve">: </w:t>
      </w:r>
      <w:r>
        <w:rPr>
          <w:rFonts w:ascii="Titillium" w:hAnsi="Titillium" w:cs="Calibri"/>
          <w:sz w:val="18"/>
          <w:szCs w:val="18"/>
        </w:rPr>
        <w:t>“</w:t>
      </w:r>
      <w:r w:rsidRPr="0019010B">
        <w:rPr>
          <w:rFonts w:ascii="Titillium" w:hAnsi="Titillium" w:cs="Calibri"/>
          <w:sz w:val="18"/>
          <w:szCs w:val="18"/>
        </w:rPr>
        <w:t>per ogni singolo lotto</w:t>
      </w:r>
      <w:r>
        <w:rPr>
          <w:rFonts w:ascii="Titillium" w:hAnsi="Titillium" w:cs="Calibri"/>
          <w:sz w:val="18"/>
          <w:szCs w:val="18"/>
        </w:rPr>
        <w:t>”</w:t>
      </w:r>
      <w:r w:rsidRPr="0019010B">
        <w:rPr>
          <w:rFonts w:ascii="Titillium" w:hAnsi="Titillium" w:cs="Calibri"/>
          <w:sz w:val="18"/>
          <w:szCs w:val="18"/>
        </w:rPr>
        <w:t xml:space="preserve">] la documentazione relativa all’offerta tecnica nella Piattaforma secondo le seguenti modalità … </w:t>
      </w:r>
      <w:r w:rsidRPr="0019010B">
        <w:rPr>
          <w:rFonts w:ascii="Titillium" w:hAnsi="Titillium" w:cs="Calibri"/>
          <w:i/>
          <w:sz w:val="18"/>
          <w:szCs w:val="18"/>
        </w:rPr>
        <w:t>[indica</w:t>
      </w:r>
      <w:r>
        <w:rPr>
          <w:rFonts w:ascii="Titillium" w:hAnsi="Titillium" w:cs="Calibri"/>
          <w:i/>
          <w:sz w:val="18"/>
          <w:szCs w:val="18"/>
        </w:rPr>
        <w:t>re</w:t>
      </w:r>
      <w:r w:rsidRPr="0019010B">
        <w:rPr>
          <w:rFonts w:ascii="Titillium" w:hAnsi="Titillium" w:cs="Calibri"/>
          <w:i/>
          <w:sz w:val="18"/>
          <w:szCs w:val="18"/>
        </w:rPr>
        <w:t xml:space="preserve"> le modalità], </w:t>
      </w:r>
      <w:r w:rsidRPr="00DD2F52">
        <w:rPr>
          <w:rFonts w:ascii="Titillium" w:hAnsi="Titillium" w:cs="Calibri"/>
          <w:iCs/>
          <w:sz w:val="18"/>
          <w:szCs w:val="18"/>
        </w:rPr>
        <w:t xml:space="preserve">a pena di inammissibilità </w:t>
      </w:r>
      <w:r w:rsidRPr="00EB523E">
        <w:rPr>
          <w:rFonts w:ascii="Titillium" w:hAnsi="Titillium" w:cs="Calibri"/>
          <w:iCs/>
          <w:sz w:val="18"/>
          <w:szCs w:val="18"/>
        </w:rPr>
        <w:t>dell’offerta. L’offerta è fi</w:t>
      </w:r>
      <w:r w:rsidRPr="00EB523E">
        <w:rPr>
          <w:rFonts w:ascii="Titillium" w:hAnsi="Titillium" w:cs="Calibri"/>
          <w:sz w:val="18"/>
          <w:szCs w:val="18"/>
        </w:rPr>
        <w:t xml:space="preserve">rmata secondo le modalità previste al precedente punto </w:t>
      </w:r>
      <w:r w:rsidRPr="00EB523E">
        <w:rPr>
          <w:rFonts w:ascii="Titillium" w:hAnsi="Titillium" w:cs="Calibri"/>
          <w:sz w:val="18"/>
          <w:szCs w:val="18"/>
        </w:rPr>
        <w:fldChar w:fldCharType="begin"/>
      </w:r>
      <w:r w:rsidRPr="00EB523E">
        <w:rPr>
          <w:rFonts w:ascii="Titillium" w:hAnsi="Titillium" w:cs="Calibri"/>
          <w:sz w:val="18"/>
          <w:szCs w:val="18"/>
        </w:rPr>
        <w:instrText xml:space="preserve"> REF _Ref129785861 \r \h  \* MERGEFORMAT </w:instrText>
      </w:r>
      <w:r w:rsidRPr="00EB523E">
        <w:rPr>
          <w:rFonts w:ascii="Titillium" w:hAnsi="Titillium" w:cs="Calibri"/>
          <w:sz w:val="18"/>
          <w:szCs w:val="18"/>
        </w:rPr>
      </w:r>
      <w:r w:rsidRPr="00EB523E">
        <w:rPr>
          <w:rFonts w:ascii="Titillium" w:hAnsi="Titillium" w:cs="Calibri"/>
          <w:sz w:val="18"/>
          <w:szCs w:val="18"/>
        </w:rPr>
        <w:fldChar w:fldCharType="separate"/>
      </w:r>
      <w:r w:rsidRPr="00EB523E">
        <w:rPr>
          <w:rFonts w:ascii="Titillium" w:hAnsi="Titillium" w:cs="Calibri"/>
          <w:sz w:val="18"/>
          <w:szCs w:val="18"/>
        </w:rPr>
        <w:t>15.1</w:t>
      </w:r>
      <w:r w:rsidRPr="00EB523E">
        <w:rPr>
          <w:rFonts w:ascii="Titillium" w:hAnsi="Titillium" w:cs="Calibri"/>
          <w:sz w:val="18"/>
          <w:szCs w:val="18"/>
        </w:rPr>
        <w:fldChar w:fldCharType="end"/>
      </w:r>
      <w:r w:rsidRPr="00EB523E">
        <w:rPr>
          <w:rFonts w:ascii="Titillium" w:hAnsi="Titillium" w:cs="Calibri"/>
          <w:sz w:val="18"/>
          <w:szCs w:val="18"/>
        </w:rPr>
        <w:t xml:space="preserve"> e deve contenere, a pena di esclusione, i seguenti documenti:</w:t>
      </w:r>
    </w:p>
    <w:p w14:paraId="6D375103" w14:textId="77777777" w:rsidR="00276DF7" w:rsidRPr="00EB523E" w:rsidRDefault="00276DF7" w:rsidP="00276DF7">
      <w:pPr>
        <w:pStyle w:val="Paragrafoelenco"/>
        <w:numPr>
          <w:ilvl w:val="0"/>
          <w:numId w:val="28"/>
        </w:numPr>
        <w:shd w:val="clear" w:color="auto" w:fill="F2F2F2" w:themeFill="background1" w:themeFillShade="F2"/>
        <w:spacing w:before="60" w:after="60"/>
        <w:ind w:left="709"/>
      </w:pPr>
      <w:r w:rsidRPr="00EB523E">
        <w:rPr>
          <w:rFonts w:ascii="Titillium" w:hAnsi="Titillium" w:cs="Calibri"/>
          <w:sz w:val="18"/>
          <w:szCs w:val="18"/>
        </w:rPr>
        <w:t>relazione tecnica dei servizi/forniture offerti;</w:t>
      </w:r>
    </w:p>
    <w:p w14:paraId="7E2BD4E6" w14:textId="77777777" w:rsidR="00276DF7" w:rsidRPr="00EB523E" w:rsidRDefault="00276DF7" w:rsidP="00276DF7">
      <w:pPr>
        <w:pStyle w:val="Paragrafoelenco"/>
        <w:numPr>
          <w:ilvl w:val="0"/>
          <w:numId w:val="28"/>
        </w:numPr>
        <w:shd w:val="clear" w:color="auto" w:fill="F2F2F2" w:themeFill="background1" w:themeFillShade="F2"/>
        <w:spacing w:before="60" w:after="60"/>
        <w:ind w:left="709"/>
      </w:pPr>
      <w:r w:rsidRPr="00EB523E">
        <w:rPr>
          <w:rFonts w:ascii="Titillium" w:hAnsi="Titillium" w:cs="Calibri"/>
          <w:sz w:val="18"/>
          <w:szCs w:val="18"/>
        </w:rPr>
        <w:t xml:space="preserve">in caso di avvalimento premiale, contratto di avvalimento; </w:t>
      </w:r>
    </w:p>
    <w:p w14:paraId="729382A6" w14:textId="77777777" w:rsidR="00276DF7" w:rsidRPr="00EB523E" w:rsidRDefault="00276DF7" w:rsidP="00276DF7">
      <w:pPr>
        <w:pStyle w:val="Paragrafoelenco"/>
        <w:numPr>
          <w:ilvl w:val="0"/>
          <w:numId w:val="28"/>
        </w:numPr>
        <w:shd w:val="clear" w:color="auto" w:fill="F2F2F2" w:themeFill="background1" w:themeFillShade="F2"/>
        <w:spacing w:before="60" w:after="60"/>
        <w:ind w:left="709"/>
        <w:rPr>
          <w:rFonts w:ascii="Titillium" w:hAnsi="Titillium" w:cs="Calibri"/>
          <w:i/>
          <w:sz w:val="18"/>
          <w:szCs w:val="18"/>
        </w:rPr>
      </w:pPr>
      <w:r w:rsidRPr="00EB523E">
        <w:rPr>
          <w:rFonts w:ascii="Titillium" w:hAnsi="Titillium" w:cs="Calibri"/>
          <w:i/>
          <w:sz w:val="18"/>
          <w:szCs w:val="18"/>
        </w:rPr>
        <w:t>… [indicare ulteriori documenti eventualmente richiesti].</w:t>
      </w:r>
    </w:p>
    <w:p w14:paraId="20080754" w14:textId="77777777" w:rsidR="00276DF7" w:rsidRPr="00EB523E" w:rsidRDefault="00276DF7" w:rsidP="00276DF7">
      <w:pPr>
        <w:shd w:val="clear" w:color="auto" w:fill="F2F2F2" w:themeFill="background1" w:themeFillShade="F2"/>
        <w:spacing w:before="60" w:after="60"/>
        <w:rPr>
          <w:rFonts w:ascii="Titillium" w:hAnsi="Titillium" w:cs="Calibri"/>
          <w:sz w:val="18"/>
          <w:szCs w:val="18"/>
        </w:rPr>
      </w:pPr>
    </w:p>
    <w:p w14:paraId="6F0DE014" w14:textId="77777777" w:rsidR="00276DF7" w:rsidRPr="00EB523E" w:rsidRDefault="00276DF7" w:rsidP="00276DF7">
      <w:pPr>
        <w:shd w:val="clear" w:color="auto" w:fill="F2F2F2" w:themeFill="background1" w:themeFillShade="F2"/>
        <w:spacing w:before="60" w:after="60"/>
      </w:pPr>
      <w:r w:rsidRPr="00EB523E">
        <w:rPr>
          <w:rFonts w:ascii="Titillium" w:hAnsi="Titillium" w:cs="Calibri"/>
          <w:sz w:val="18"/>
          <w:szCs w:val="18"/>
        </w:rPr>
        <w:t xml:space="preserve">La relazione contiene una proposta tecnico-organizzativa che illustra, con riferimento ai criteri e sub-criteri di valutazione indicati nella tabella di cui al successivo punto </w:t>
      </w:r>
      <w:r w:rsidRPr="00EB523E">
        <w:rPr>
          <w:rFonts w:ascii="Titillium" w:hAnsi="Titillium" w:cs="Calibri"/>
          <w:sz w:val="18"/>
          <w:szCs w:val="18"/>
        </w:rPr>
        <w:fldChar w:fldCharType="begin"/>
      </w:r>
      <w:r w:rsidRPr="00EB523E">
        <w:rPr>
          <w:rFonts w:ascii="Titillium" w:hAnsi="Titillium" w:cs="Calibri"/>
          <w:sz w:val="18"/>
          <w:szCs w:val="18"/>
        </w:rPr>
        <w:instrText xml:space="preserve"> REF _Ref129786124 \r \h </w:instrText>
      </w:r>
      <w:r>
        <w:rPr>
          <w:rFonts w:ascii="Titillium" w:hAnsi="Titillium" w:cs="Calibri"/>
          <w:sz w:val="18"/>
          <w:szCs w:val="18"/>
        </w:rPr>
        <w:instrText xml:space="preserve"> \* MERGEFORMAT </w:instrText>
      </w:r>
      <w:r w:rsidRPr="00EB523E">
        <w:rPr>
          <w:rFonts w:ascii="Titillium" w:hAnsi="Titillium" w:cs="Calibri"/>
          <w:sz w:val="18"/>
          <w:szCs w:val="18"/>
        </w:rPr>
      </w:r>
      <w:r w:rsidRPr="00EB523E">
        <w:rPr>
          <w:rFonts w:ascii="Titillium" w:hAnsi="Titillium" w:cs="Calibri"/>
          <w:sz w:val="18"/>
          <w:szCs w:val="18"/>
        </w:rPr>
        <w:fldChar w:fldCharType="separate"/>
      </w:r>
      <w:r w:rsidRPr="00EB523E">
        <w:rPr>
          <w:rFonts w:ascii="Titillium" w:hAnsi="Titillium" w:cs="Calibri"/>
          <w:sz w:val="18"/>
          <w:szCs w:val="18"/>
        </w:rPr>
        <w:t>18.1</w:t>
      </w:r>
      <w:r w:rsidRPr="00EB523E">
        <w:rPr>
          <w:rFonts w:ascii="Titillium" w:hAnsi="Titillium" w:cs="Calibri"/>
          <w:sz w:val="18"/>
          <w:szCs w:val="18"/>
        </w:rPr>
        <w:fldChar w:fldCharType="end"/>
      </w:r>
      <w:r w:rsidRPr="00EB523E">
        <w:rPr>
          <w:rFonts w:ascii="Titillium" w:hAnsi="Titillium" w:cs="Calibri"/>
          <w:sz w:val="18"/>
          <w:szCs w:val="18"/>
        </w:rPr>
        <w:t xml:space="preserve">, i seguenti elementi: … </w:t>
      </w:r>
      <w:r w:rsidRPr="00EB523E">
        <w:rPr>
          <w:rFonts w:ascii="Titillium" w:hAnsi="Titillium" w:cs="Calibri"/>
          <w:i/>
          <w:sz w:val="18"/>
          <w:szCs w:val="18"/>
        </w:rPr>
        <w:t>[specificare, per ogni singolo criterio e sub-criterio di valutazione, gli elementi che il concorrente deve descrivere ai fini della valutazione dell’offerta tecnica, se ritenuto opportuno anche mediante rinvio ad apposito allegato contenente l’indice richiesto per la relazione]</w:t>
      </w:r>
      <w:r w:rsidRPr="00EB523E">
        <w:rPr>
          <w:rFonts w:ascii="Titillium" w:hAnsi="Titillium" w:cs="Calibri"/>
          <w:sz w:val="18"/>
          <w:szCs w:val="18"/>
        </w:rPr>
        <w:t>.</w:t>
      </w:r>
    </w:p>
    <w:p w14:paraId="025A52CF" w14:textId="77777777" w:rsidR="00276DF7" w:rsidRPr="00EB523E" w:rsidRDefault="00276DF7" w:rsidP="00276DF7">
      <w:pPr>
        <w:shd w:val="clear" w:color="auto" w:fill="F2F2F2" w:themeFill="background1" w:themeFillShade="F2"/>
        <w:spacing w:before="60" w:after="60"/>
      </w:pPr>
      <w:r w:rsidRPr="00EB523E">
        <w:rPr>
          <w:rFonts w:ascii="Titillium" w:hAnsi="Titillium" w:cs="Calibri"/>
          <w:sz w:val="18"/>
          <w:szCs w:val="18"/>
        </w:rPr>
        <w:t>L’offerta tecnica deve rispettare, pena l’esclusione dalla procedura di gara, le caratteristiche minime stabilite nei documenti di gara, nel rispetto del principio di equivalenza.</w:t>
      </w:r>
    </w:p>
    <w:p w14:paraId="5E278645" w14:textId="77777777" w:rsidR="00276DF7" w:rsidRPr="00EB523E" w:rsidRDefault="00276DF7" w:rsidP="00276DF7">
      <w:pPr>
        <w:shd w:val="clear" w:color="auto" w:fill="F2F2F2" w:themeFill="background1" w:themeFillShade="F2"/>
        <w:spacing w:before="60" w:after="60"/>
        <w:rPr>
          <w:rFonts w:ascii="Titillium" w:hAnsi="Titillium"/>
          <w:bCs/>
          <w:iCs/>
          <w:sz w:val="18"/>
          <w:szCs w:val="18"/>
        </w:rPr>
      </w:pPr>
      <w:r w:rsidRPr="00EB523E">
        <w:rPr>
          <w:rFonts w:ascii="Titillium" w:hAnsi="Titillium"/>
          <w:b/>
          <w:i/>
          <w:sz w:val="18"/>
          <w:szCs w:val="18"/>
        </w:rPr>
        <w:t xml:space="preserve">[Nel caso in cui in forza di disposizioni legislative, regolamentari o amministrative, la prestazione del servizio sia riservata a una particolare professione:] </w:t>
      </w:r>
      <w:r w:rsidRPr="00EB523E">
        <w:rPr>
          <w:rFonts w:ascii="Titillium" w:hAnsi="Titillium"/>
          <w:bCs/>
          <w:iCs/>
          <w:sz w:val="18"/>
          <w:szCs w:val="18"/>
        </w:rPr>
        <w:t xml:space="preserve">In forza del ………. </w:t>
      </w:r>
      <w:r w:rsidRPr="00EB523E">
        <w:rPr>
          <w:rFonts w:ascii="Titillium" w:hAnsi="Titillium"/>
          <w:bCs/>
          <w:i/>
          <w:sz w:val="18"/>
          <w:szCs w:val="18"/>
        </w:rPr>
        <w:t>[indicare le disposizioni applicabili]</w:t>
      </w:r>
      <w:r w:rsidRPr="00EB523E">
        <w:rPr>
          <w:rFonts w:ascii="Titillium" w:hAnsi="Titillium"/>
          <w:bCs/>
          <w:iCs/>
          <w:sz w:val="18"/>
          <w:szCs w:val="18"/>
        </w:rPr>
        <w:t xml:space="preserve"> la prestazione del servizio è riservata a ………… </w:t>
      </w:r>
      <w:r w:rsidRPr="00EB523E">
        <w:rPr>
          <w:rFonts w:ascii="Titillium" w:hAnsi="Titillium"/>
          <w:bCs/>
          <w:i/>
          <w:sz w:val="18"/>
          <w:szCs w:val="18"/>
        </w:rPr>
        <w:t>[indicare la qualifica professionale].</w:t>
      </w:r>
    </w:p>
    <w:p w14:paraId="2D56F251" w14:textId="77777777" w:rsidR="00276DF7" w:rsidRPr="00EB523E" w:rsidRDefault="00276DF7" w:rsidP="00276DF7">
      <w:pPr>
        <w:shd w:val="clear" w:color="auto" w:fill="F2F2F2" w:themeFill="background1" w:themeFillShade="F2"/>
        <w:spacing w:before="60" w:after="60"/>
        <w:rPr>
          <w:rFonts w:ascii="Titillium" w:hAnsi="Titillium"/>
          <w:b/>
          <w:i/>
          <w:sz w:val="18"/>
          <w:szCs w:val="18"/>
        </w:rPr>
      </w:pPr>
      <w:r w:rsidRPr="00EB523E">
        <w:rPr>
          <w:rFonts w:ascii="Titillium" w:hAnsi="Titillium"/>
          <w:b/>
          <w:i/>
          <w:sz w:val="18"/>
          <w:szCs w:val="18"/>
        </w:rPr>
        <w:t xml:space="preserve">[Facoltativo: qualora sia necessario conoscere le qualifiche professionali dei lavoratori in ragione della tipologia delle prestazioni richieste nei servizi oggetto dell’appalto] </w:t>
      </w:r>
      <w:r w:rsidRPr="00EB523E">
        <w:rPr>
          <w:rFonts w:ascii="Titillium" w:hAnsi="Titillium" w:cs="Calibri"/>
          <w:sz w:val="18"/>
          <w:szCs w:val="18"/>
        </w:rPr>
        <w:t xml:space="preserve">L’operatore economico indica il nome e le qualifiche professionali delle persone fisiche incaricate delle seguenti prestazioni ... </w:t>
      </w:r>
      <w:r w:rsidRPr="00EB523E">
        <w:rPr>
          <w:rFonts w:ascii="Titillium" w:hAnsi="Titillium" w:cs="Calibri"/>
          <w:i/>
          <w:sz w:val="18"/>
          <w:szCs w:val="18"/>
        </w:rPr>
        <w:t>[la stazione appaltante individua le prestazioni in relazione alle quali, viste le loro peculiarità, ritiene necessario conoscere ex ante nominativo e qualifiche delle persone fisiche incaricate]</w:t>
      </w:r>
      <w:r w:rsidRPr="00EB523E">
        <w:rPr>
          <w:rFonts w:ascii="Titillium" w:hAnsi="Titillium" w:cs="Calibri"/>
          <w:sz w:val="18"/>
          <w:szCs w:val="18"/>
        </w:rPr>
        <w:t>.</w:t>
      </w:r>
      <w:r w:rsidRPr="00EB523E">
        <w:rPr>
          <w:rFonts w:ascii="Titillium" w:hAnsi="Titillium"/>
          <w:b/>
          <w:i/>
          <w:sz w:val="18"/>
          <w:szCs w:val="18"/>
        </w:rPr>
        <w:t xml:space="preserve"> </w:t>
      </w:r>
    </w:p>
    <w:p w14:paraId="7B9AD175" w14:textId="77777777" w:rsidR="00276DF7" w:rsidRDefault="00276DF7" w:rsidP="00276DF7">
      <w:pPr>
        <w:shd w:val="clear" w:color="auto" w:fill="F2F2F2" w:themeFill="background1" w:themeFillShade="F2"/>
        <w:spacing w:before="60" w:after="60"/>
        <w:rPr>
          <w:rFonts w:ascii="Titillium" w:hAnsi="Titillium"/>
          <w:b/>
          <w:i/>
          <w:sz w:val="18"/>
          <w:szCs w:val="18"/>
        </w:rPr>
      </w:pPr>
      <w:r w:rsidRPr="00762FC3">
        <w:rPr>
          <w:rFonts w:ascii="Titillium" w:hAnsi="Titillium"/>
          <w:b/>
          <w:i/>
          <w:sz w:val="18"/>
          <w:szCs w:val="18"/>
        </w:rPr>
        <w:t xml:space="preserve">Ad eccezione dei contratti di fornitura senza posa in opera e dei servizi di natura intellettuale </w:t>
      </w:r>
      <w:r w:rsidRPr="00762FC3">
        <w:rPr>
          <w:rFonts w:ascii="Titillium" w:hAnsi="Titillium"/>
          <w:sz w:val="18"/>
          <w:szCs w:val="18"/>
        </w:rPr>
        <w:t>L’operatore economico che adotta un CCNL diverso da quello indicato all’articolo 3 inserisce la dichiarazione di equivalenze delle tutele e l’eventuale documentazione probatoria sulla equivalenza del proprio CCNL nella sezione della piattaforma relativa all’offerta tecnica</w:t>
      </w:r>
      <w:r w:rsidRPr="00762FC3">
        <w:rPr>
          <w:rFonts w:ascii="Titillium" w:hAnsi="Titillium"/>
          <w:b/>
          <w:i/>
          <w:sz w:val="18"/>
          <w:szCs w:val="18"/>
        </w:rPr>
        <w:t xml:space="preserve">. </w:t>
      </w:r>
    </w:p>
    <w:p w14:paraId="7D627301" w14:textId="77777777" w:rsidR="00276DF7" w:rsidRPr="00EB523E" w:rsidRDefault="00276DF7" w:rsidP="00276DF7">
      <w:pPr>
        <w:shd w:val="clear" w:color="auto" w:fill="F2F2F2" w:themeFill="background1" w:themeFillShade="F2"/>
        <w:spacing w:before="60" w:after="60"/>
        <w:rPr>
          <w:rFonts w:ascii="Titillium" w:hAnsi="Titillium"/>
          <w:i/>
          <w:iCs/>
          <w:sz w:val="18"/>
          <w:szCs w:val="18"/>
        </w:rPr>
      </w:pPr>
      <w:r w:rsidRPr="00EB523E">
        <w:rPr>
          <w:rFonts w:ascii="Titillium" w:hAnsi="Titillium"/>
          <w:b/>
          <w:bCs/>
          <w:i/>
          <w:iCs/>
          <w:sz w:val="18"/>
          <w:szCs w:val="18"/>
        </w:rPr>
        <w:t xml:space="preserve">[Se prevista la clausola sociale relativa alla stabilità occupazionale] </w:t>
      </w:r>
      <w:r w:rsidRPr="00EB523E">
        <w:rPr>
          <w:rFonts w:ascii="Titillium" w:hAnsi="Titillium"/>
          <w:sz w:val="18"/>
          <w:szCs w:val="18"/>
        </w:rPr>
        <w:t xml:space="preserve">Ai fini del rispetto della clausola sociale sulla stabilità occupazionale di cui al punto </w:t>
      </w:r>
      <w:r w:rsidRPr="00EB523E">
        <w:rPr>
          <w:rFonts w:ascii="Titillium" w:hAnsi="Titillium"/>
          <w:sz w:val="18"/>
          <w:szCs w:val="18"/>
        </w:rPr>
        <w:fldChar w:fldCharType="begin"/>
      </w:r>
      <w:r w:rsidRPr="00EB523E">
        <w:rPr>
          <w:rFonts w:ascii="Titillium" w:hAnsi="Titillium"/>
          <w:sz w:val="18"/>
          <w:szCs w:val="18"/>
        </w:rPr>
        <w:instrText xml:space="preserve"> REF _Ref132050689 \r \h  \* MERGEFORMAT </w:instrText>
      </w:r>
      <w:r w:rsidRPr="00EB523E">
        <w:rPr>
          <w:rFonts w:ascii="Titillium" w:hAnsi="Titillium"/>
          <w:sz w:val="18"/>
          <w:szCs w:val="18"/>
        </w:rPr>
      </w:r>
      <w:r w:rsidRPr="00EB523E">
        <w:rPr>
          <w:rFonts w:ascii="Titillium" w:hAnsi="Titillium"/>
          <w:sz w:val="18"/>
          <w:szCs w:val="18"/>
        </w:rPr>
        <w:fldChar w:fldCharType="separate"/>
      </w:r>
      <w:r w:rsidRPr="00EB523E">
        <w:rPr>
          <w:rFonts w:ascii="Titillium" w:hAnsi="Titillium"/>
          <w:sz w:val="18"/>
          <w:szCs w:val="18"/>
        </w:rPr>
        <w:t>9</w:t>
      </w:r>
      <w:r w:rsidRPr="00EB523E">
        <w:rPr>
          <w:rFonts w:ascii="Titillium" w:hAnsi="Titillium"/>
          <w:sz w:val="18"/>
          <w:szCs w:val="18"/>
        </w:rPr>
        <w:fldChar w:fldCharType="end"/>
      </w:r>
      <w:r w:rsidRPr="00EB523E">
        <w:rPr>
          <w:rFonts w:ascii="Titillium" w:hAnsi="Titillium"/>
          <w:sz w:val="18"/>
          <w:szCs w:val="18"/>
        </w:rPr>
        <w:t>, il concorrente allega all</w:t>
      </w:r>
      <w:r w:rsidRPr="00EB523E">
        <w:rPr>
          <w:rFonts w:ascii="Titillium" w:hAnsi="Titillium" w:hint="eastAsia"/>
          <w:sz w:val="18"/>
          <w:szCs w:val="18"/>
        </w:rPr>
        <w:t>’</w:t>
      </w:r>
      <w:r w:rsidRPr="00EB523E">
        <w:rPr>
          <w:rFonts w:ascii="Titillium" w:hAnsi="Titillium"/>
          <w:sz w:val="18"/>
          <w:szCs w:val="18"/>
        </w:rPr>
        <w:t>offerta tecnica un progetto di assorbimento atto ad illustrare le concrete modalit</w:t>
      </w:r>
      <w:r w:rsidRPr="00EB523E">
        <w:rPr>
          <w:rFonts w:ascii="Titillium" w:hAnsi="Titillium" w:hint="eastAsia"/>
          <w:sz w:val="18"/>
          <w:szCs w:val="18"/>
        </w:rPr>
        <w:t>à</w:t>
      </w:r>
      <w:r w:rsidRPr="00EB523E">
        <w:rPr>
          <w:rFonts w:ascii="Titillium" w:hAnsi="Titillium"/>
          <w:sz w:val="18"/>
          <w:szCs w:val="18"/>
        </w:rPr>
        <w:t xml:space="preserve"> di applicazione della clausola sociale </w:t>
      </w:r>
      <w:r w:rsidRPr="00EB523E">
        <w:rPr>
          <w:rFonts w:ascii="Titillium" w:hAnsi="Titillium"/>
          <w:i/>
          <w:iCs/>
          <w:sz w:val="18"/>
          <w:szCs w:val="18"/>
        </w:rPr>
        <w:t>[eliminare la clausola se la stazione appaltante ha optato per l’inserimento nella domanda di partecipazione];</w:t>
      </w:r>
    </w:p>
    <w:p w14:paraId="44E2F728" w14:textId="77777777" w:rsidR="00276DF7" w:rsidRPr="00EB523E" w:rsidRDefault="00276DF7" w:rsidP="00276DF7">
      <w:pPr>
        <w:shd w:val="clear" w:color="auto" w:fill="F2F2F2" w:themeFill="background1" w:themeFillShade="F2"/>
        <w:spacing w:before="60" w:after="60"/>
        <w:rPr>
          <w:rFonts w:ascii="Titillium" w:hAnsi="Titillium"/>
          <w:sz w:val="18"/>
          <w:szCs w:val="18"/>
        </w:rPr>
      </w:pPr>
      <w:r w:rsidRPr="00EB523E">
        <w:rPr>
          <w:rFonts w:ascii="Titillium" w:hAnsi="Titillium"/>
          <w:b/>
          <w:bCs/>
          <w:i/>
          <w:iCs/>
          <w:sz w:val="18"/>
          <w:szCs w:val="18"/>
        </w:rPr>
        <w:t>[Se prevista la clausola sociale per le pari opportunità generazionali, di genere e di inclusione lavorativa per le persone con disabilità o svantaggiate]</w:t>
      </w:r>
      <w:r w:rsidRPr="00EB523E">
        <w:rPr>
          <w:rFonts w:ascii="Titillium" w:hAnsi="Titillium"/>
          <w:i/>
          <w:iCs/>
          <w:sz w:val="18"/>
          <w:szCs w:val="18"/>
        </w:rPr>
        <w:t xml:space="preserve"> </w:t>
      </w:r>
      <w:r w:rsidRPr="00EB523E">
        <w:rPr>
          <w:rFonts w:ascii="Titillium" w:hAnsi="Titillium"/>
          <w:sz w:val="18"/>
          <w:szCs w:val="18"/>
        </w:rPr>
        <w:t xml:space="preserve">Ai fini del rispetto della clausola sociale per le pari opportunità generazionali, di genere e di inclusione lavorativa per le persone con disabilità o svantaggiate di cui al punto </w:t>
      </w:r>
      <w:r w:rsidRPr="00EB523E">
        <w:rPr>
          <w:rFonts w:ascii="Titillium" w:hAnsi="Titillium"/>
          <w:sz w:val="18"/>
          <w:szCs w:val="18"/>
        </w:rPr>
        <w:fldChar w:fldCharType="begin"/>
      </w:r>
      <w:r w:rsidRPr="00EB523E">
        <w:rPr>
          <w:rFonts w:ascii="Titillium" w:hAnsi="Titillium"/>
          <w:sz w:val="18"/>
          <w:szCs w:val="18"/>
        </w:rPr>
        <w:instrText xml:space="preserve"> REF _Ref132050689 \r \h  \* MERGEFORMAT </w:instrText>
      </w:r>
      <w:r w:rsidRPr="00EB523E">
        <w:rPr>
          <w:rFonts w:ascii="Titillium" w:hAnsi="Titillium"/>
          <w:sz w:val="18"/>
          <w:szCs w:val="18"/>
        </w:rPr>
      </w:r>
      <w:r w:rsidRPr="00EB523E">
        <w:rPr>
          <w:rFonts w:ascii="Titillium" w:hAnsi="Titillium"/>
          <w:sz w:val="18"/>
          <w:szCs w:val="18"/>
        </w:rPr>
        <w:fldChar w:fldCharType="separate"/>
      </w:r>
      <w:r w:rsidRPr="00EB523E">
        <w:rPr>
          <w:rFonts w:ascii="Titillium" w:hAnsi="Titillium"/>
          <w:sz w:val="18"/>
          <w:szCs w:val="18"/>
        </w:rPr>
        <w:t>9</w:t>
      </w:r>
      <w:r w:rsidRPr="00EB523E">
        <w:rPr>
          <w:rFonts w:ascii="Titillium" w:hAnsi="Titillium"/>
          <w:sz w:val="18"/>
          <w:szCs w:val="18"/>
        </w:rPr>
        <w:fldChar w:fldCharType="end"/>
      </w:r>
      <w:r w:rsidRPr="00EB523E">
        <w:rPr>
          <w:rFonts w:ascii="Titillium" w:hAnsi="Titillium"/>
          <w:sz w:val="18"/>
          <w:szCs w:val="18"/>
        </w:rPr>
        <w:t xml:space="preserve">, il concorrente …. </w:t>
      </w:r>
    </w:p>
    <w:p w14:paraId="523094DE" w14:textId="77777777" w:rsidR="00276DF7" w:rsidRPr="00276DF7" w:rsidRDefault="00276DF7" w:rsidP="00276DF7">
      <w:pPr>
        <w:shd w:val="clear" w:color="auto" w:fill="F2F2F2" w:themeFill="background1" w:themeFillShade="F2"/>
        <w:spacing w:before="60" w:after="60"/>
        <w:rPr>
          <w:rFonts w:ascii="Titillium" w:hAnsi="Titillium"/>
          <w:color w:val="000000"/>
          <w:sz w:val="18"/>
          <w:szCs w:val="18"/>
          <w:lang w:eastAsia="it-IT"/>
        </w:rPr>
      </w:pPr>
      <w:r w:rsidRPr="00EB523E">
        <w:rPr>
          <w:rFonts w:ascii="Titillium" w:hAnsi="Titillium" w:cs="Arial"/>
          <w:b/>
          <w:i/>
          <w:sz w:val="18"/>
          <w:szCs w:val="18"/>
        </w:rPr>
        <w:t>[</w:t>
      </w:r>
      <w:r w:rsidRPr="00EB523E">
        <w:rPr>
          <w:rFonts w:ascii="Titillium" w:hAnsi="Titillium" w:cs="Arial"/>
          <w:b/>
          <w:bCs/>
          <w:i/>
          <w:sz w:val="18"/>
          <w:szCs w:val="18"/>
        </w:rPr>
        <w:t xml:space="preserve">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EB523E">
        <w:rPr>
          <w:rFonts w:ascii="Titillium" w:hAnsi="Titillium" w:cs="Courier New"/>
          <w:b/>
          <w:i/>
          <w:sz w:val="18"/>
          <w:szCs w:val="18"/>
        </w:rPr>
        <w:t>decreto legge 31 maggio 2021, n. 77, convertito, con modificazioni, dalla legge 29 luglio 2021, n. 108, n</w:t>
      </w:r>
      <w:r w:rsidRPr="00EB523E">
        <w:rPr>
          <w:rFonts w:ascii="Titillium" w:hAnsi="Titillium" w:cs="Arial"/>
          <w:b/>
          <w:i/>
          <w:sz w:val="18"/>
          <w:szCs w:val="18"/>
        </w:rPr>
        <w:t xml:space="preserve">el caso in cui la stazione appaltante scelga di richiedere la presentazione di tale </w:t>
      </w:r>
      <w:r w:rsidRPr="00EB523E">
        <w:rPr>
          <w:rFonts w:ascii="Titillium" w:hAnsi="Titillium" w:cs="Arial"/>
          <w:b/>
          <w:i/>
          <w:sz w:val="18"/>
          <w:szCs w:val="18"/>
        </w:rPr>
        <w:lastRenderedPageBreak/>
        <w:t>dichiarazione nell’Offerta tecnica, anziché nella Domanda di partecipazione]</w:t>
      </w:r>
      <w:r w:rsidRPr="00EB523E">
        <w:rPr>
          <w:rFonts w:ascii="Titillium" w:hAnsi="Titillium" w:cs="Arial"/>
          <w:b/>
          <w:sz w:val="18"/>
          <w:szCs w:val="18"/>
        </w:rPr>
        <w:t xml:space="preserve"> </w:t>
      </w:r>
      <w:r w:rsidRPr="00EB523E">
        <w:rPr>
          <w:rFonts w:ascii="Titillium" w:hAnsi="Titillium" w:cs="Arial"/>
          <w:sz w:val="18"/>
          <w:szCs w:val="18"/>
        </w:rPr>
        <w:t xml:space="preserve">L’operatore economico dichiara di assumersi l’obbligo, in caso di aggiudicazione del contratto, di assicurare all’occupazione giovanile una quota di …. % </w:t>
      </w:r>
      <w:r w:rsidRPr="00EB523E">
        <w:rPr>
          <w:rFonts w:ascii="Titillium" w:hAnsi="Titillium" w:cs="Arial"/>
          <w:i/>
          <w:iCs/>
          <w:sz w:val="18"/>
          <w:szCs w:val="18"/>
        </w:rPr>
        <w:t>[indicare la quota pari o superiore al 30% indicata dalla stazione appaltante ovvero quella inferiore in caso di deroga, ai sensi dell’articolo 47, comma 7, decreto legge n. 77/2021]</w:t>
      </w:r>
      <w:r w:rsidRPr="00EB523E">
        <w:rPr>
          <w:rFonts w:ascii="Titillium" w:hAnsi="Titillium" w:cs="Arial"/>
          <w:sz w:val="18"/>
          <w:szCs w:val="18"/>
        </w:rPr>
        <w:t xml:space="preserve"> e a quella femminile una quota di …. % </w:t>
      </w:r>
      <w:r w:rsidRPr="00EB523E">
        <w:rPr>
          <w:rFonts w:ascii="Titillium" w:hAnsi="Titillium" w:cs="Arial"/>
          <w:i/>
          <w:iCs/>
          <w:sz w:val="18"/>
          <w:szCs w:val="18"/>
        </w:rPr>
        <w:t>[indicare la quota pari o superiore al 30% indicata dalla stazione appaltante ovvero quella inferiore in caso di deroga, ai sensi dell’articolo 47, comma 7, decreto legge n. 77/2021]</w:t>
      </w:r>
      <w:r w:rsidRPr="00EB523E">
        <w:rPr>
          <w:rFonts w:ascii="Titillium" w:hAnsi="Titillium" w:cs="Arial"/>
          <w:sz w:val="18"/>
          <w:szCs w:val="18"/>
        </w:rPr>
        <w:t xml:space="preserve"> delle assunzioni necessarie per l'esecuzione del contratto o per la realizzazione di attività ad esso connesse o strumentali.</w:t>
      </w:r>
      <w:r w:rsidRPr="00276DF7">
        <w:rPr>
          <w:rFonts w:ascii="Titillium" w:hAnsi="Titillium"/>
          <w:color w:val="000000"/>
          <w:sz w:val="18"/>
          <w:szCs w:val="18"/>
          <w:lang w:eastAsia="it-IT"/>
        </w:rPr>
        <w:t xml:space="preserve"> </w:t>
      </w:r>
    </w:p>
    <w:p w14:paraId="2CCBF299" w14:textId="77777777" w:rsidR="00276DF7" w:rsidRPr="00276DF7" w:rsidRDefault="00276DF7" w:rsidP="00276DF7">
      <w:pPr>
        <w:shd w:val="clear" w:color="auto" w:fill="F2F2F2" w:themeFill="background1" w:themeFillShade="F2"/>
        <w:spacing w:before="60" w:after="60"/>
        <w:rPr>
          <w:rFonts w:ascii="Titillium" w:hAnsi="Titillium"/>
          <w:color w:val="000000"/>
          <w:sz w:val="18"/>
          <w:szCs w:val="18"/>
          <w:lang w:eastAsia="it-IT"/>
        </w:rPr>
      </w:pPr>
      <w:r w:rsidRPr="00276DF7">
        <w:rPr>
          <w:rFonts w:ascii="Titillium" w:hAnsi="Titillium"/>
          <w:color w:val="000000"/>
          <w:sz w:val="18"/>
          <w:szCs w:val="18"/>
          <w:lang w:eastAsia="it-IT"/>
        </w:rPr>
        <w:t>L’operatore economico allega una dichiarazione firmata contenente i dettagli dell’offerta coperti da riservatezza, argomentando in modo congruo le ragioni per le quali eventuali parti dell’offerta sono da segretare. Il concorrente a tal fine allega anche una copia firmata della relazione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14:paraId="2726AB47" w14:textId="77777777" w:rsidR="00276DF7" w:rsidRPr="00A1783A" w:rsidRDefault="00276DF7" w:rsidP="00276DF7">
      <w:pPr>
        <w:widowControl w:val="0"/>
        <w:shd w:val="clear" w:color="auto" w:fill="F2F2F2" w:themeFill="background1" w:themeFillShade="F2"/>
        <w:spacing w:before="60" w:after="60"/>
        <w:rPr>
          <w:rFonts w:ascii="Titillium" w:hAnsi="Titillium" w:cs="Arial"/>
          <w:sz w:val="18"/>
          <w:szCs w:val="18"/>
        </w:rPr>
      </w:pPr>
    </w:p>
    <w:p w14:paraId="11859884" w14:textId="77777777" w:rsidR="00276DF7" w:rsidRDefault="00276DF7" w:rsidP="00276DF7">
      <w:pPr>
        <w:pStyle w:val="Titolo2"/>
        <w:numPr>
          <w:ilvl w:val="0"/>
          <w:numId w:val="4"/>
        </w:numPr>
        <w:shd w:val="clear" w:color="auto" w:fill="F2F2F2" w:themeFill="background1" w:themeFillShade="F2"/>
        <w:ind w:left="357" w:hanging="357"/>
      </w:pPr>
      <w:bookmarkStart w:id="1903" w:name="_Toc139549443"/>
      <w:r>
        <w:rPr>
          <w:rFonts w:ascii="Titillium" w:hAnsi="Titillium"/>
          <w:sz w:val="18"/>
          <w:szCs w:val="18"/>
          <w:lang w:val="it-IT"/>
        </w:rPr>
        <w:t>OFFERTA ECONOMICA</w:t>
      </w:r>
      <w:bookmarkEnd w:id="1903"/>
    </w:p>
    <w:p w14:paraId="4D38ABA3" w14:textId="629524EC" w:rsidR="00276DF7" w:rsidRDefault="00276DF7" w:rsidP="00276DF7">
      <w:pPr>
        <w:shd w:val="clear" w:color="auto" w:fill="F2F2F2" w:themeFill="background1" w:themeFillShade="F2"/>
        <w:spacing w:before="60" w:after="60"/>
        <w:ind w:hanging="11"/>
      </w:pPr>
      <w:bookmarkStart w:id="1904" w:name="_Toc483316490"/>
      <w:bookmarkStart w:id="1905" w:name="_Toc483316359"/>
      <w:bookmarkStart w:id="1906" w:name="_Toc483316227"/>
      <w:bookmarkStart w:id="1907" w:name="_Toc483316022"/>
      <w:bookmarkStart w:id="1908" w:name="_Toc483302401"/>
      <w:bookmarkStart w:id="1909" w:name="_Toc483233684"/>
      <w:bookmarkStart w:id="1910" w:name="_Toc482979724"/>
      <w:bookmarkStart w:id="1911" w:name="_Toc482979626"/>
      <w:bookmarkStart w:id="1912" w:name="_Toc482979528"/>
      <w:bookmarkStart w:id="1913" w:name="_Toc482979420"/>
      <w:bookmarkStart w:id="1914" w:name="_Toc482979311"/>
      <w:bookmarkStart w:id="1915" w:name="_Toc482979202"/>
      <w:bookmarkStart w:id="1916" w:name="_Toc482979091"/>
      <w:bookmarkStart w:id="1917" w:name="_Toc482978983"/>
      <w:bookmarkStart w:id="1918" w:name="_Toc482978874"/>
      <w:bookmarkStart w:id="1919" w:name="_Toc482959755"/>
      <w:bookmarkStart w:id="1920" w:name="_Toc482959645"/>
      <w:bookmarkStart w:id="1921" w:name="_Toc482959535"/>
      <w:bookmarkStart w:id="1922" w:name="_Toc482712747"/>
      <w:bookmarkStart w:id="1923" w:name="_Toc482641301"/>
      <w:bookmarkStart w:id="1924" w:name="_Toc482633124"/>
      <w:bookmarkStart w:id="1925" w:name="_Toc482352283"/>
      <w:bookmarkStart w:id="1926" w:name="_Toc482352193"/>
      <w:bookmarkStart w:id="1927" w:name="_Toc482352103"/>
      <w:bookmarkStart w:id="1928" w:name="_Toc482352013"/>
      <w:bookmarkStart w:id="1929" w:name="_Toc482102149"/>
      <w:bookmarkStart w:id="1930" w:name="_Toc482102055"/>
      <w:bookmarkStart w:id="1931" w:name="_Toc482101960"/>
      <w:bookmarkStart w:id="1932" w:name="_Toc482101865"/>
      <w:bookmarkStart w:id="1933" w:name="_Toc482101772"/>
      <w:bookmarkStart w:id="1934" w:name="_Toc482101597"/>
      <w:bookmarkStart w:id="1935" w:name="_Toc482101482"/>
      <w:bookmarkStart w:id="1936" w:name="_Toc482101345"/>
      <w:bookmarkStart w:id="1937" w:name="_Toc482100919"/>
      <w:bookmarkStart w:id="1938" w:name="_Toc482100762"/>
      <w:bookmarkStart w:id="1939" w:name="_Toc482099045"/>
      <w:bookmarkStart w:id="1940" w:name="_Toc482097943"/>
      <w:bookmarkStart w:id="1941" w:name="_Toc482097751"/>
      <w:bookmarkStart w:id="1942" w:name="_Toc482097662"/>
      <w:bookmarkStart w:id="1943" w:name="_Toc482097573"/>
      <w:bookmarkStart w:id="1944" w:name="_Toc482025749"/>
      <w:bookmarkStart w:id="1945" w:name="_Toc483401270"/>
      <w:bookmarkStart w:id="1946" w:name="_Toc48332579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r>
        <w:rPr>
          <w:rFonts w:ascii="Titillium" w:hAnsi="Titillium" w:cs="Calibri"/>
          <w:sz w:val="18"/>
          <w:szCs w:val="18"/>
        </w:rPr>
        <w:t xml:space="preserve">L’operatore economico inserisce </w:t>
      </w:r>
      <w:r w:rsidRPr="0030072B">
        <w:rPr>
          <w:rFonts w:ascii="Titillium" w:hAnsi="Titillium" w:cs="Calibri"/>
          <w:i/>
          <w:iCs/>
          <w:sz w:val="18"/>
          <w:szCs w:val="18"/>
        </w:rPr>
        <w:t>[</w:t>
      </w:r>
      <w:r>
        <w:rPr>
          <w:rFonts w:ascii="Titillium" w:hAnsi="Titillium" w:cs="Calibri"/>
          <w:i/>
          <w:iCs/>
          <w:sz w:val="18"/>
          <w:szCs w:val="18"/>
        </w:rPr>
        <w:t>i</w:t>
      </w:r>
      <w:r w:rsidRPr="00DD2F52">
        <w:rPr>
          <w:rFonts w:ascii="Titillium" w:hAnsi="Titillium" w:cs="Calibri"/>
          <w:i/>
          <w:iCs/>
          <w:sz w:val="18"/>
          <w:szCs w:val="18"/>
        </w:rPr>
        <w:t xml:space="preserve">n caso di gara </w:t>
      </w:r>
      <w:r>
        <w:rPr>
          <w:rFonts w:ascii="Titillium" w:hAnsi="Titillium" w:cs="Calibri"/>
          <w:i/>
          <w:iCs/>
          <w:sz w:val="18"/>
          <w:szCs w:val="18"/>
        </w:rPr>
        <w:t>a</w:t>
      </w:r>
      <w:r w:rsidRPr="00DD2F52">
        <w:rPr>
          <w:rFonts w:ascii="Titillium" w:hAnsi="Titillium" w:cs="Calibri"/>
          <w:i/>
          <w:iCs/>
          <w:sz w:val="18"/>
          <w:szCs w:val="18"/>
        </w:rPr>
        <w:t xml:space="preserve"> lotti inserire</w:t>
      </w:r>
      <w:r>
        <w:rPr>
          <w:rFonts w:ascii="Titillium" w:hAnsi="Titillium" w:cs="Calibri"/>
          <w:sz w:val="18"/>
          <w:szCs w:val="18"/>
        </w:rPr>
        <w:t>: “per ogni singolo lotto”</w:t>
      </w:r>
      <w:r w:rsidRPr="0030072B">
        <w:rPr>
          <w:rFonts w:ascii="Titillium" w:hAnsi="Titillium" w:cs="Calibri"/>
          <w:i/>
          <w:iCs/>
          <w:sz w:val="18"/>
          <w:szCs w:val="18"/>
        </w:rPr>
        <w:t>]</w:t>
      </w:r>
      <w:r>
        <w:rPr>
          <w:rFonts w:ascii="Titillium" w:hAnsi="Titillium" w:cs="Calibri"/>
          <w:sz w:val="18"/>
          <w:szCs w:val="18"/>
        </w:rPr>
        <w:t xml:space="preserve"> la documentazione economica, nella Piattaforma secondo le seguenti modalità … [</w:t>
      </w:r>
      <w:r>
        <w:rPr>
          <w:rFonts w:ascii="Titillium" w:hAnsi="Titillium" w:cs="Calibri"/>
          <w:i/>
          <w:sz w:val="18"/>
          <w:szCs w:val="18"/>
        </w:rPr>
        <w:t>indicare le modalit</w:t>
      </w:r>
      <w:r w:rsidRPr="0030072B">
        <w:rPr>
          <w:rFonts w:ascii="Titillium" w:hAnsi="Titillium" w:cs="Calibri"/>
          <w:i/>
          <w:sz w:val="18"/>
          <w:szCs w:val="18"/>
        </w:rPr>
        <w:t>à].</w:t>
      </w:r>
      <w:r>
        <w:rPr>
          <w:rFonts w:ascii="Titillium" w:hAnsi="Titillium" w:cs="Calibri"/>
          <w:sz w:val="18"/>
          <w:szCs w:val="18"/>
        </w:rPr>
        <w:t xml:space="preserve"> L’offerta economica firmata secondo le modalità di cui al precedente articolo </w:t>
      </w:r>
      <w:r>
        <w:rPr>
          <w:rFonts w:ascii="Titillium" w:hAnsi="Titillium" w:cs="Calibri"/>
          <w:sz w:val="18"/>
          <w:szCs w:val="18"/>
        </w:rPr>
        <w:fldChar w:fldCharType="begin"/>
      </w:r>
      <w:r>
        <w:rPr>
          <w:rFonts w:ascii="Titillium" w:hAnsi="Titillium" w:cs="Calibri"/>
          <w:sz w:val="18"/>
          <w:szCs w:val="18"/>
        </w:rPr>
        <w:instrText xml:space="preserve"> REF _Ref129789908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15.1</w:t>
      </w:r>
      <w:r>
        <w:rPr>
          <w:rFonts w:ascii="Titillium" w:hAnsi="Titillium" w:cs="Calibri"/>
          <w:sz w:val="18"/>
          <w:szCs w:val="18"/>
        </w:rPr>
        <w:fldChar w:fldCharType="end"/>
      </w:r>
      <w:r>
        <w:rPr>
          <w:rFonts w:ascii="Titillium" w:hAnsi="Titillium" w:cs="Calibri"/>
          <w:sz w:val="18"/>
          <w:szCs w:val="18"/>
        </w:rPr>
        <w:t xml:space="preserve">, deve </w:t>
      </w:r>
      <w:r w:rsidRPr="00140144">
        <w:rPr>
          <w:rFonts w:ascii="Titillium" w:hAnsi="Titillium" w:cs="Calibri"/>
          <w:sz w:val="18"/>
          <w:szCs w:val="18"/>
        </w:rPr>
        <w:t>indicare, a pena di esclusione, i seguenti elementi</w:t>
      </w:r>
      <w:r>
        <w:rPr>
          <w:rFonts w:ascii="Titillium" w:hAnsi="Titillium" w:cs="Calibri"/>
          <w:sz w:val="18"/>
          <w:szCs w:val="18"/>
        </w:rPr>
        <w:t>:</w:t>
      </w:r>
    </w:p>
    <w:p w14:paraId="121D6216" w14:textId="77777777" w:rsidR="00276DF7" w:rsidRPr="00B1739C" w:rsidRDefault="00276DF7" w:rsidP="00276DF7">
      <w:pPr>
        <w:numPr>
          <w:ilvl w:val="2"/>
          <w:numId w:val="3"/>
        </w:numPr>
        <w:shd w:val="clear" w:color="auto" w:fill="F2F2F2" w:themeFill="background1" w:themeFillShade="F2"/>
        <w:spacing w:before="60" w:after="60" w:line="276" w:lineRule="auto"/>
        <w:ind w:left="284" w:hanging="284"/>
        <w:jc w:val="both"/>
      </w:pPr>
      <w:r>
        <w:rPr>
          <w:rFonts w:ascii="Titillium" w:hAnsi="Titillium" w:cs="Arial"/>
          <w:i/>
          <w:sz w:val="18"/>
          <w:szCs w:val="18"/>
        </w:rPr>
        <w:t xml:space="preserve">….. </w:t>
      </w:r>
      <w:r w:rsidRPr="00B1739C">
        <w:rPr>
          <w:rFonts w:ascii="Titillium" w:hAnsi="Titillium" w:cs="Arial"/>
          <w:i/>
          <w:sz w:val="18"/>
          <w:szCs w:val="18"/>
        </w:rPr>
        <w:t xml:space="preserve">[indicare il valore che la stazione appaltante intende richiedere, ad esempio: </w:t>
      </w:r>
      <w:r w:rsidRPr="00B1739C">
        <w:rPr>
          <w:rFonts w:ascii="Titillium" w:hAnsi="Titillium" w:cs="Calibri"/>
          <w:i/>
          <w:sz w:val="18"/>
          <w:szCs w:val="18"/>
        </w:rPr>
        <w:t>prezzo complessivo, ribasso percentuale, prezzi unitari, etc. In caso di richiesta di offerta su una pluralità di beni o servizi, la stazione appaltante indica i singoli valori da richiedere per ciascuno di essi],</w:t>
      </w:r>
      <w:r w:rsidRPr="00B1739C">
        <w:rPr>
          <w:rFonts w:ascii="Titillium" w:hAnsi="Titillium" w:cs="Calibri"/>
          <w:sz w:val="18"/>
          <w:szCs w:val="18"/>
        </w:rPr>
        <w:t xml:space="preserve"> al netto di</w:t>
      </w:r>
      <w:r w:rsidRPr="00B1739C">
        <w:rPr>
          <w:rFonts w:ascii="Titillium" w:hAnsi="Titillium" w:cs="Calibri"/>
          <w:i/>
          <w:sz w:val="18"/>
          <w:szCs w:val="18"/>
        </w:rPr>
        <w:t xml:space="preserve"> </w:t>
      </w:r>
      <w:r w:rsidRPr="00B1739C">
        <w:rPr>
          <w:rFonts w:ascii="Titillium" w:hAnsi="Titillium" w:cs="Calibri"/>
          <w:sz w:val="18"/>
          <w:szCs w:val="18"/>
        </w:rPr>
        <w:t xml:space="preserve">Iva, nonché degli oneri per la sicurezza dovuti a rischi da interferenze. </w:t>
      </w:r>
    </w:p>
    <w:p w14:paraId="0C489F9E" w14:textId="77777777" w:rsidR="00276DF7" w:rsidRDefault="00276DF7" w:rsidP="00276DF7">
      <w:pPr>
        <w:shd w:val="clear" w:color="auto" w:fill="F2F2F2" w:themeFill="background1" w:themeFillShade="F2"/>
        <w:spacing w:before="60" w:after="60"/>
        <w:ind w:left="284"/>
        <w:rPr>
          <w:rFonts w:ascii="Titillium" w:hAnsi="Titillium" w:cs="Calibri"/>
          <w:sz w:val="18"/>
          <w:szCs w:val="18"/>
        </w:rPr>
      </w:pPr>
      <w:r>
        <w:rPr>
          <w:rFonts w:ascii="Titillium" w:hAnsi="Titillium" w:cs="Calibri"/>
          <w:sz w:val="18"/>
          <w:szCs w:val="18"/>
        </w:rPr>
        <w:t xml:space="preserve">Verranno prese in considerazione fino a </w:t>
      </w:r>
      <w:r w:rsidRPr="00EC60E5">
        <w:rPr>
          <w:rFonts w:ascii="Titillium" w:hAnsi="Titillium" w:cs="Calibri"/>
          <w:i/>
          <w:sz w:val="18"/>
          <w:szCs w:val="18"/>
        </w:rPr>
        <w:t>… [</w:t>
      </w:r>
      <w:r w:rsidRPr="00EC60E5">
        <w:rPr>
          <w:rFonts w:ascii="Titillium" w:hAnsi="Titillium" w:cs="Calibri"/>
          <w:i/>
          <w:iCs/>
          <w:sz w:val="18"/>
          <w:szCs w:val="18"/>
        </w:rPr>
        <w:t>indicare il numero]</w:t>
      </w:r>
      <w:r>
        <w:rPr>
          <w:rFonts w:ascii="Titillium" w:hAnsi="Titillium" w:cs="Calibri"/>
          <w:i/>
          <w:iCs/>
          <w:sz w:val="18"/>
          <w:szCs w:val="18"/>
        </w:rPr>
        <w:t xml:space="preserve"> </w:t>
      </w:r>
      <w:r w:rsidRPr="00E03B98">
        <w:rPr>
          <w:rFonts w:ascii="Titillium" w:hAnsi="Titillium" w:cs="Calibri"/>
          <w:iCs/>
          <w:sz w:val="18"/>
          <w:szCs w:val="18"/>
        </w:rPr>
        <w:t>cifre decimali</w:t>
      </w:r>
      <w:r>
        <w:rPr>
          <w:rFonts w:ascii="Titillium" w:hAnsi="Titillium" w:cs="Calibri"/>
          <w:sz w:val="18"/>
          <w:szCs w:val="18"/>
        </w:rPr>
        <w:t>;</w:t>
      </w:r>
    </w:p>
    <w:p w14:paraId="592017A9" w14:textId="77777777" w:rsidR="00276DF7" w:rsidRPr="009C6573" w:rsidRDefault="00276DF7" w:rsidP="00276DF7">
      <w:pPr>
        <w:numPr>
          <w:ilvl w:val="2"/>
          <w:numId w:val="3"/>
        </w:numPr>
        <w:shd w:val="clear" w:color="auto" w:fill="F2F2F2" w:themeFill="background1" w:themeFillShade="F2"/>
        <w:spacing w:before="60" w:after="60" w:line="276" w:lineRule="auto"/>
        <w:ind w:left="284" w:hanging="284"/>
        <w:jc w:val="both"/>
      </w:pPr>
      <w:r>
        <w:rPr>
          <w:rFonts w:ascii="Titillium" w:hAnsi="Titillium"/>
          <w:b/>
          <w:i/>
          <w:sz w:val="18"/>
          <w:szCs w:val="18"/>
        </w:rPr>
        <w:t>[</w:t>
      </w:r>
      <w:r w:rsidRPr="003B49E3">
        <w:rPr>
          <w:rFonts w:ascii="Titillium" w:hAnsi="Titillium"/>
          <w:b/>
          <w:i/>
          <w:sz w:val="18"/>
          <w:szCs w:val="18"/>
        </w:rPr>
        <w:t>Non applicabile ai servizi di natura intellettuale ed alle forniture senza posa in opera</w:t>
      </w:r>
      <w:r>
        <w:rPr>
          <w:rFonts w:ascii="Titillium" w:hAnsi="Titillium"/>
          <w:b/>
          <w:i/>
          <w:sz w:val="18"/>
          <w:szCs w:val="18"/>
        </w:rPr>
        <w:t>]</w:t>
      </w:r>
      <w:r>
        <w:rPr>
          <w:rFonts w:ascii="Titillium" w:hAnsi="Titillium" w:cs="Calibri"/>
          <w:sz w:val="18"/>
          <w:szCs w:val="18"/>
        </w:rPr>
        <w:t xml:space="preserve"> la stima dei costi aziendali relativi alla salute ed alla sicurezza sui luoghi di lavoro; </w:t>
      </w:r>
    </w:p>
    <w:p w14:paraId="3F388F21" w14:textId="77777777" w:rsidR="00276DF7" w:rsidRDefault="00276DF7" w:rsidP="00276DF7">
      <w:pPr>
        <w:shd w:val="clear" w:color="auto" w:fill="F2F2F2" w:themeFill="background1" w:themeFillShade="F2"/>
        <w:spacing w:before="60" w:after="60"/>
      </w:pPr>
    </w:p>
    <w:p w14:paraId="77D7AB91" w14:textId="77777777" w:rsidR="00276DF7" w:rsidRPr="00B1739C" w:rsidRDefault="00276DF7" w:rsidP="00276DF7">
      <w:pPr>
        <w:numPr>
          <w:ilvl w:val="2"/>
          <w:numId w:val="3"/>
        </w:numPr>
        <w:shd w:val="clear" w:color="auto" w:fill="F2F2F2" w:themeFill="background1" w:themeFillShade="F2"/>
        <w:spacing w:before="60" w:after="60" w:line="276" w:lineRule="auto"/>
        <w:ind w:left="284" w:hanging="284"/>
        <w:jc w:val="both"/>
      </w:pPr>
      <w:r>
        <w:rPr>
          <w:rFonts w:ascii="Titillium" w:hAnsi="Titillium"/>
          <w:b/>
          <w:i/>
          <w:sz w:val="18"/>
          <w:szCs w:val="18"/>
        </w:rPr>
        <w:t>[</w:t>
      </w:r>
      <w:r w:rsidRPr="003B49E3">
        <w:rPr>
          <w:rFonts w:ascii="Titillium" w:hAnsi="Titillium"/>
          <w:b/>
          <w:i/>
          <w:sz w:val="18"/>
          <w:szCs w:val="18"/>
        </w:rPr>
        <w:t>Non applicabile ai servizi di natura intellettuale ed alle forniture senza posa in opera</w:t>
      </w:r>
      <w:r>
        <w:rPr>
          <w:rFonts w:ascii="Titillium" w:hAnsi="Titillium"/>
          <w:b/>
          <w:i/>
          <w:sz w:val="18"/>
          <w:szCs w:val="18"/>
        </w:rPr>
        <w:t>]</w:t>
      </w:r>
      <w:r>
        <w:rPr>
          <w:rFonts w:ascii="Titillium" w:hAnsi="Titillium" w:cs="Calibri"/>
          <w:sz w:val="18"/>
          <w:szCs w:val="18"/>
        </w:rPr>
        <w:t xml:space="preserve"> la stima dei costi della manodopera.</w:t>
      </w:r>
    </w:p>
    <w:p w14:paraId="27DDDDED" w14:textId="0EB66B7F" w:rsidR="00276DF7" w:rsidRDefault="00276DF7" w:rsidP="00276DF7">
      <w:pPr>
        <w:shd w:val="clear" w:color="auto" w:fill="F2F2F2" w:themeFill="background1" w:themeFillShade="F2"/>
        <w:spacing w:before="60" w:after="60"/>
        <w:ind w:left="284"/>
        <w:rPr>
          <w:rFonts w:ascii="Titillium" w:hAnsi="Titillium" w:cs="Calibri"/>
          <w:bCs/>
          <w:iCs/>
          <w:sz w:val="18"/>
          <w:szCs w:val="18"/>
        </w:rPr>
      </w:pPr>
      <w:r w:rsidRPr="00D86312">
        <w:rPr>
          <w:rFonts w:ascii="Titillium" w:hAnsi="Titillium" w:cs="Calibri"/>
          <w:bCs/>
          <w:iCs/>
          <w:sz w:val="18"/>
          <w:szCs w:val="18"/>
        </w:rPr>
        <w:t>Ai sensi dell’art</w:t>
      </w:r>
      <w:r>
        <w:rPr>
          <w:rFonts w:ascii="Titillium" w:hAnsi="Titillium" w:cs="Calibri"/>
          <w:bCs/>
          <w:iCs/>
          <w:sz w:val="18"/>
          <w:szCs w:val="18"/>
        </w:rPr>
        <w:t>icolo</w:t>
      </w:r>
      <w:r w:rsidRPr="00D86312">
        <w:rPr>
          <w:rFonts w:ascii="Titillium" w:hAnsi="Titillium" w:cs="Calibri"/>
          <w:bCs/>
          <w:iCs/>
          <w:sz w:val="18"/>
          <w:szCs w:val="18"/>
        </w:rPr>
        <w:t xml:space="preserve"> 41 comma 14 del Codice i costi della manodopera indicati </w:t>
      </w:r>
      <w:r>
        <w:rPr>
          <w:rFonts w:ascii="Titillium" w:hAnsi="Titillium" w:cs="Calibri"/>
          <w:bCs/>
          <w:iCs/>
          <w:sz w:val="18"/>
          <w:szCs w:val="18"/>
        </w:rPr>
        <w:t xml:space="preserve">al punto </w:t>
      </w:r>
      <w:r>
        <w:rPr>
          <w:rFonts w:ascii="Titillium" w:hAnsi="Titillium" w:cs="Calibri"/>
          <w:bCs/>
          <w:iCs/>
          <w:sz w:val="18"/>
          <w:szCs w:val="18"/>
        </w:rPr>
        <w:fldChar w:fldCharType="begin"/>
      </w:r>
      <w:r>
        <w:rPr>
          <w:rFonts w:ascii="Titillium" w:hAnsi="Titillium" w:cs="Calibri"/>
          <w:bCs/>
          <w:iCs/>
          <w:sz w:val="18"/>
          <w:szCs w:val="18"/>
        </w:rPr>
        <w:instrText xml:space="preserve"> REF _Ref132304635 \r \h </w:instrText>
      </w:r>
      <w:r>
        <w:rPr>
          <w:rFonts w:ascii="Titillium" w:hAnsi="Titillium" w:cs="Calibri"/>
          <w:bCs/>
          <w:iCs/>
          <w:sz w:val="18"/>
          <w:szCs w:val="18"/>
        </w:rPr>
      </w:r>
      <w:r>
        <w:rPr>
          <w:rFonts w:ascii="Titillium" w:hAnsi="Titillium" w:cs="Calibri"/>
          <w:bCs/>
          <w:iCs/>
          <w:sz w:val="18"/>
          <w:szCs w:val="18"/>
        </w:rPr>
        <w:instrText xml:space="preserve"> \* MERGEFORMAT </w:instrText>
      </w:r>
      <w:r>
        <w:rPr>
          <w:rFonts w:ascii="Titillium" w:hAnsi="Titillium" w:cs="Calibri"/>
          <w:bCs/>
          <w:iCs/>
          <w:sz w:val="18"/>
          <w:szCs w:val="18"/>
        </w:rPr>
        <w:fldChar w:fldCharType="separate"/>
      </w:r>
      <w:r>
        <w:rPr>
          <w:rFonts w:ascii="Titillium" w:hAnsi="Titillium" w:cs="Calibri"/>
          <w:bCs/>
          <w:iCs/>
          <w:sz w:val="18"/>
          <w:szCs w:val="18"/>
        </w:rPr>
        <w:t>3</w:t>
      </w:r>
      <w:r>
        <w:rPr>
          <w:rFonts w:ascii="Titillium" w:hAnsi="Titillium" w:cs="Calibri"/>
          <w:bCs/>
          <w:iCs/>
          <w:sz w:val="18"/>
          <w:szCs w:val="18"/>
        </w:rPr>
        <w:fldChar w:fldCharType="end"/>
      </w:r>
      <w:r w:rsidRPr="00D86312">
        <w:rPr>
          <w:rFonts w:ascii="Titillium" w:hAnsi="Titillium" w:cs="Calibri"/>
          <w:bCs/>
          <w:iCs/>
          <w:sz w:val="18"/>
          <w:szCs w:val="18"/>
        </w:rPr>
        <w:t xml:space="preserve"> del presente disciplinare non sono ribassabili. Resta la possibilità per l’operatore economico di dimostrare che il ribasso complessivo dell’importo deriva da una più efficiente organizzazione aziendale</w:t>
      </w:r>
      <w:r>
        <w:rPr>
          <w:rFonts w:ascii="Titillium" w:hAnsi="Titillium" w:cs="Calibri"/>
          <w:bCs/>
          <w:iCs/>
          <w:sz w:val="18"/>
          <w:szCs w:val="18"/>
        </w:rPr>
        <w:t xml:space="preserve"> o da sgravi contributivi che non comportano penalizzazioni per la manodopera</w:t>
      </w:r>
      <w:r w:rsidRPr="00D86312">
        <w:rPr>
          <w:rFonts w:ascii="Titillium" w:hAnsi="Titillium" w:cs="Calibri"/>
          <w:bCs/>
          <w:iCs/>
          <w:sz w:val="18"/>
          <w:szCs w:val="18"/>
        </w:rPr>
        <w:t>.</w:t>
      </w:r>
    </w:p>
    <w:p w14:paraId="05979781" w14:textId="77777777" w:rsidR="00276DF7" w:rsidRDefault="00276DF7" w:rsidP="00276DF7">
      <w:pPr>
        <w:numPr>
          <w:ilvl w:val="2"/>
          <w:numId w:val="3"/>
        </w:numPr>
        <w:shd w:val="clear" w:color="auto" w:fill="F2F2F2" w:themeFill="background1" w:themeFillShade="F2"/>
        <w:spacing w:before="60" w:after="60" w:line="276" w:lineRule="auto"/>
        <w:ind w:left="284" w:hanging="284"/>
        <w:jc w:val="both"/>
      </w:pPr>
      <w:r>
        <w:rPr>
          <w:rFonts w:ascii="Titillium" w:hAnsi="Titillium" w:cs="Calibri"/>
          <w:b/>
          <w:i/>
          <w:sz w:val="18"/>
          <w:szCs w:val="18"/>
        </w:rPr>
        <w:t>[Facoltativo]</w:t>
      </w:r>
      <w:r>
        <w:rPr>
          <w:rFonts w:ascii="Titillium" w:hAnsi="Titillium" w:cs="Arial"/>
          <w:sz w:val="18"/>
          <w:szCs w:val="18"/>
        </w:rPr>
        <w:t xml:space="preserve"> … </w:t>
      </w:r>
      <w:r w:rsidRPr="00EC60E5">
        <w:rPr>
          <w:rFonts w:ascii="Titillium" w:hAnsi="Titillium" w:cs="Arial"/>
          <w:i/>
          <w:sz w:val="18"/>
          <w:szCs w:val="18"/>
        </w:rPr>
        <w:t>[</w:t>
      </w:r>
      <w:r>
        <w:rPr>
          <w:rFonts w:ascii="Titillium" w:hAnsi="Titillium" w:cs="Arial"/>
          <w:i/>
          <w:sz w:val="18"/>
          <w:szCs w:val="18"/>
        </w:rPr>
        <w:t>indicare gli ulteriori elementi che gli operatori devono valorizzare i quali pur non concorrendo alla formazione dell’offerta economica oggetto di valutazione, servono a fissare alcuni prezzi unitari utili per eventuali proroghe/opzioni].</w:t>
      </w:r>
    </w:p>
    <w:p w14:paraId="239BF181" w14:textId="0746A0FC" w:rsidR="00276DF7" w:rsidRDefault="00276DF7" w:rsidP="00276DF7">
      <w:pPr>
        <w:shd w:val="clear" w:color="auto" w:fill="F2F2F2" w:themeFill="background1" w:themeFillShade="F2"/>
        <w:spacing w:before="60" w:after="60"/>
        <w:rPr>
          <w:rFonts w:ascii="Titillium" w:hAnsi="Titillium"/>
          <w:i/>
          <w:sz w:val="18"/>
          <w:szCs w:val="18"/>
        </w:rPr>
      </w:pPr>
      <w:r>
        <w:rPr>
          <w:rFonts w:ascii="Titillium" w:hAnsi="Titillium"/>
          <w:sz w:val="18"/>
          <w:szCs w:val="18"/>
        </w:rPr>
        <w:t xml:space="preserve">Sono inammissibili le offerte economiche che superino l’importo a base d’asta </w:t>
      </w:r>
      <w:r w:rsidRPr="00B1739C">
        <w:rPr>
          <w:rFonts w:ascii="Titillium" w:hAnsi="Titillium"/>
          <w:bCs/>
          <w:i/>
          <w:sz w:val="18"/>
          <w:szCs w:val="18"/>
        </w:rPr>
        <w:t>[in alternativa, in caso di pubblicazione dei prezzi di riferimento dei beni o servizi relativi all’oggetto dell’appalto]</w:t>
      </w:r>
      <w:r>
        <w:rPr>
          <w:rFonts w:ascii="Titillium" w:hAnsi="Titillium"/>
          <w:bCs/>
          <w:i/>
          <w:sz w:val="18"/>
          <w:szCs w:val="18"/>
        </w:rPr>
        <w:t>.</w:t>
      </w:r>
      <w:r>
        <w:rPr>
          <w:rFonts w:ascii="Titillium" w:hAnsi="Titillium"/>
          <w:i/>
          <w:sz w:val="18"/>
          <w:szCs w:val="18"/>
        </w:rPr>
        <w:t xml:space="preserve"> </w:t>
      </w:r>
      <w:r>
        <w:rPr>
          <w:rFonts w:ascii="Titillium" w:hAnsi="Titillium"/>
          <w:sz w:val="18"/>
          <w:szCs w:val="18"/>
        </w:rPr>
        <w:t xml:space="preserve">Sono inammissibili le offerte economiche che superino </w:t>
      </w:r>
      <w:r w:rsidRPr="00D86312">
        <w:rPr>
          <w:rFonts w:ascii="Titillium" w:hAnsi="Titillium"/>
          <w:sz w:val="18"/>
          <w:szCs w:val="18"/>
        </w:rPr>
        <w:t xml:space="preserve">l’importo a base d’asta o che non siano formulate nel rispetto dei prezzi di riferimento indicati </w:t>
      </w:r>
      <w:r>
        <w:rPr>
          <w:rFonts w:ascii="Titillium" w:hAnsi="Titillium" w:cs="Calibri"/>
          <w:bCs/>
          <w:iCs/>
          <w:sz w:val="18"/>
          <w:szCs w:val="18"/>
        </w:rPr>
        <w:t xml:space="preserve">al punto </w:t>
      </w:r>
      <w:r>
        <w:rPr>
          <w:rFonts w:ascii="Titillium" w:hAnsi="Titillium" w:cs="Calibri"/>
          <w:bCs/>
          <w:iCs/>
          <w:sz w:val="18"/>
          <w:szCs w:val="18"/>
        </w:rPr>
        <w:fldChar w:fldCharType="begin"/>
      </w:r>
      <w:r>
        <w:rPr>
          <w:rFonts w:ascii="Titillium" w:hAnsi="Titillium" w:cs="Calibri"/>
          <w:bCs/>
          <w:iCs/>
          <w:sz w:val="18"/>
          <w:szCs w:val="18"/>
        </w:rPr>
        <w:instrText xml:space="preserve"> REF _Ref132304635 \r \h </w:instrText>
      </w:r>
      <w:r>
        <w:rPr>
          <w:rFonts w:ascii="Titillium" w:hAnsi="Titillium" w:cs="Calibri"/>
          <w:bCs/>
          <w:iCs/>
          <w:sz w:val="18"/>
          <w:szCs w:val="18"/>
        </w:rPr>
      </w:r>
      <w:r>
        <w:rPr>
          <w:rFonts w:ascii="Titillium" w:hAnsi="Titillium" w:cs="Calibri"/>
          <w:bCs/>
          <w:iCs/>
          <w:sz w:val="18"/>
          <w:szCs w:val="18"/>
        </w:rPr>
        <w:instrText xml:space="preserve"> \* MERGEFORMAT </w:instrText>
      </w:r>
      <w:r>
        <w:rPr>
          <w:rFonts w:ascii="Titillium" w:hAnsi="Titillium" w:cs="Calibri"/>
          <w:bCs/>
          <w:iCs/>
          <w:sz w:val="18"/>
          <w:szCs w:val="18"/>
        </w:rPr>
        <w:fldChar w:fldCharType="separate"/>
      </w:r>
      <w:r>
        <w:rPr>
          <w:rFonts w:ascii="Titillium" w:hAnsi="Titillium" w:cs="Calibri"/>
          <w:bCs/>
          <w:iCs/>
          <w:sz w:val="18"/>
          <w:szCs w:val="18"/>
        </w:rPr>
        <w:t>3</w:t>
      </w:r>
      <w:r>
        <w:rPr>
          <w:rFonts w:ascii="Titillium" w:hAnsi="Titillium" w:cs="Calibri"/>
          <w:bCs/>
          <w:iCs/>
          <w:sz w:val="18"/>
          <w:szCs w:val="18"/>
        </w:rPr>
        <w:fldChar w:fldCharType="end"/>
      </w:r>
      <w:r w:rsidRPr="00D86312">
        <w:rPr>
          <w:rFonts w:ascii="Titillium" w:hAnsi="Titillium"/>
          <w:sz w:val="18"/>
          <w:szCs w:val="18"/>
        </w:rPr>
        <w:t xml:space="preserve"> del presente disciplinare</w:t>
      </w:r>
      <w:r w:rsidRPr="00D86312">
        <w:rPr>
          <w:rFonts w:ascii="Titillium" w:hAnsi="Titillium"/>
          <w:i/>
          <w:sz w:val="18"/>
          <w:szCs w:val="18"/>
        </w:rPr>
        <w:t>.</w:t>
      </w:r>
    </w:p>
    <w:p w14:paraId="308C99D6" w14:textId="77777777" w:rsidR="00276DF7" w:rsidRPr="0067210A"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iCs/>
          <w:sz w:val="18"/>
          <w:szCs w:val="18"/>
        </w:rPr>
      </w:pPr>
      <w:r>
        <w:rPr>
          <w:rFonts w:ascii="Titillium" w:hAnsi="Titillium"/>
          <w:i/>
          <w:sz w:val="18"/>
          <w:szCs w:val="18"/>
        </w:rPr>
        <w:t>N.B. Quando la stazione appaltante richiede l’indicazione di più valori che possono risultare discordanti (ad esempio prezzo e ribasso) indica anche un criterio di prevalenza.</w:t>
      </w:r>
    </w:p>
    <w:p w14:paraId="1CF67485" w14:textId="77777777" w:rsidR="00276DF7" w:rsidRDefault="00276DF7" w:rsidP="00276DF7">
      <w:pPr>
        <w:pStyle w:val="Titolo2"/>
        <w:numPr>
          <w:ilvl w:val="0"/>
          <w:numId w:val="4"/>
        </w:numPr>
        <w:shd w:val="clear" w:color="auto" w:fill="F2F2F2" w:themeFill="background1" w:themeFillShade="F2"/>
        <w:ind w:left="357" w:hanging="357"/>
        <w:rPr>
          <w:rFonts w:ascii="Titillium" w:hAnsi="Titillium"/>
          <w:sz w:val="18"/>
          <w:szCs w:val="18"/>
        </w:rPr>
      </w:pPr>
      <w:bookmarkStart w:id="1947" w:name="_Toc353990398"/>
      <w:bookmarkStart w:id="1948" w:name="_Ref498421982"/>
      <w:bookmarkStart w:id="1949" w:name="_Toc416423371"/>
      <w:bookmarkStart w:id="1950" w:name="_Toc406754188"/>
      <w:bookmarkStart w:id="1951" w:name="_Toc406058387"/>
      <w:bookmarkStart w:id="1952" w:name="_Toc403471279"/>
      <w:bookmarkStart w:id="1953" w:name="_Toc397422872"/>
      <w:bookmarkStart w:id="1954" w:name="_Toc397346831"/>
      <w:bookmarkStart w:id="1955" w:name="_Toc393706916"/>
      <w:bookmarkStart w:id="1956" w:name="_Toc393700843"/>
      <w:bookmarkStart w:id="1957" w:name="_Toc393283184"/>
      <w:bookmarkStart w:id="1958" w:name="_Toc393272668"/>
      <w:bookmarkStart w:id="1959" w:name="_Toc393272610"/>
      <w:bookmarkStart w:id="1960" w:name="_Toc393187854"/>
      <w:bookmarkStart w:id="1961" w:name="_Toc393112137"/>
      <w:bookmarkStart w:id="1962" w:name="_Toc393110573"/>
      <w:bookmarkStart w:id="1963" w:name="_Toc392577506"/>
      <w:bookmarkStart w:id="1964" w:name="_Toc391036065"/>
      <w:bookmarkStart w:id="1965" w:name="_Toc391035992"/>
      <w:bookmarkStart w:id="1966" w:name="_Toc380501879"/>
      <w:bookmarkStart w:id="1967" w:name="_Toc139549444"/>
      <w:bookmarkEnd w:id="1947"/>
      <w:r>
        <w:rPr>
          <w:rFonts w:ascii="Titillium" w:hAnsi="Titillium"/>
          <w:sz w:val="18"/>
          <w:szCs w:val="18"/>
        </w:rPr>
        <w:t>CRITERIO DI AGGIUDICAZIONE</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p>
    <w:p w14:paraId="35E0DAA0" w14:textId="77777777" w:rsidR="00276DF7" w:rsidRDefault="00276DF7" w:rsidP="00276DF7">
      <w:pPr>
        <w:shd w:val="clear" w:color="auto" w:fill="F2F2F2" w:themeFill="background1" w:themeFillShade="F2"/>
        <w:spacing w:before="60" w:after="60"/>
        <w:rPr>
          <w:rFonts w:ascii="Titillium" w:hAnsi="Titillium" w:cs="Calibri"/>
          <w:sz w:val="18"/>
          <w:szCs w:val="18"/>
          <w:lang w:eastAsia="it-IT"/>
        </w:rPr>
      </w:pPr>
      <w:r>
        <w:rPr>
          <w:rFonts w:ascii="Titillium" w:hAnsi="Titillium" w:cs="Calibri"/>
          <w:sz w:val="18"/>
          <w:szCs w:val="18"/>
          <w:lang w:eastAsia="it-IT"/>
        </w:rPr>
        <w:t>L’appalto è aggiudicato in base al criterio dell’offerta economicamente più vantaggiosa individuata sulla base del miglior rapporto qualità/prezzo.</w:t>
      </w:r>
    </w:p>
    <w:p w14:paraId="0E2FEA78" w14:textId="77777777" w:rsidR="00276DF7" w:rsidRDefault="00276DF7" w:rsidP="00276DF7">
      <w:pPr>
        <w:shd w:val="clear" w:color="auto" w:fill="F2F2F2" w:themeFill="background1" w:themeFillShade="F2"/>
        <w:spacing w:before="60" w:after="60"/>
        <w:rPr>
          <w:rFonts w:ascii="Titillium" w:hAnsi="Titillium" w:cs="Calibri"/>
          <w:i/>
          <w:sz w:val="18"/>
          <w:szCs w:val="18"/>
          <w:lang w:eastAsia="it-IT"/>
        </w:rPr>
      </w:pPr>
      <w:r>
        <w:rPr>
          <w:rFonts w:ascii="Titillium" w:hAnsi="Titillium" w:cs="Calibri"/>
          <w:sz w:val="18"/>
          <w:szCs w:val="18"/>
          <w:lang w:eastAsia="it-IT"/>
        </w:rPr>
        <w:t xml:space="preserve">La valutazione dell’offerta tecnica e dell’offerta economica è effettuata in base ai seguenti punteggi </w:t>
      </w:r>
      <w:r>
        <w:rPr>
          <w:rFonts w:ascii="Titillium" w:hAnsi="Titillium" w:cs="Calibri"/>
          <w:i/>
          <w:sz w:val="18"/>
          <w:szCs w:val="18"/>
          <w:lang w:eastAsia="it-IT"/>
        </w:rPr>
        <w:t xml:space="preserve">[la stazione appaltante, valorizza gli elementi qualitativi </w:t>
      </w:r>
      <w:r>
        <w:rPr>
          <w:rFonts w:ascii="Titillium" w:hAnsi="Titillium" w:cs="Calibri"/>
          <w:i/>
          <w:sz w:val="18"/>
          <w:szCs w:val="18"/>
          <w:lang w:eastAsia="it-IT"/>
        </w:rPr>
        <w:lastRenderedPageBreak/>
        <w:t>dell’offerta e individua criteri tali da garantire un confronto concorrenziale effettivo sui profili tecnici].</w:t>
      </w:r>
    </w:p>
    <w:tbl>
      <w:tblPr>
        <w:tblW w:w="5000" w:type="pct"/>
        <w:tblLook w:val="04A0" w:firstRow="1" w:lastRow="0" w:firstColumn="1" w:lastColumn="0" w:noHBand="0" w:noVBand="1"/>
      </w:tblPr>
      <w:tblGrid>
        <w:gridCol w:w="4816"/>
        <w:gridCol w:w="4812"/>
      </w:tblGrid>
      <w:tr w:rsidR="00276DF7" w14:paraId="65F45702" w14:textId="77777777" w:rsidTr="00EA5131">
        <w:tc>
          <w:tcPr>
            <w:tcW w:w="2501" w:type="pct"/>
            <w:tcBorders>
              <w:top w:val="single" w:sz="4" w:space="0" w:color="000000"/>
              <w:left w:val="single" w:sz="4" w:space="0" w:color="000000"/>
              <w:bottom w:val="single" w:sz="4" w:space="0" w:color="000000"/>
              <w:right w:val="single" w:sz="4" w:space="0" w:color="000000"/>
            </w:tcBorders>
            <w:shd w:val="clear" w:color="auto" w:fill="D9D9D9"/>
          </w:tcPr>
          <w:p w14:paraId="5F42B5DD" w14:textId="77777777" w:rsidR="00276DF7" w:rsidRDefault="00276DF7" w:rsidP="00276DF7">
            <w:pPr>
              <w:shd w:val="clear" w:color="auto" w:fill="F2F2F2" w:themeFill="background1" w:themeFillShade="F2"/>
              <w:spacing w:before="60" w:after="60"/>
              <w:rPr>
                <w:rFonts w:ascii="Titillium" w:hAnsi="Titillium" w:cs="Calibri"/>
                <w:i/>
                <w:sz w:val="18"/>
                <w:szCs w:val="18"/>
                <w:lang w:eastAsia="it-IT"/>
              </w:rPr>
            </w:pP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14:paraId="1D47C8F0" w14:textId="77777777" w:rsidR="00276DF7" w:rsidRDefault="00276DF7" w:rsidP="00276DF7">
            <w:pPr>
              <w:shd w:val="clear" w:color="auto" w:fill="F2F2F2" w:themeFill="background1" w:themeFillShade="F2"/>
              <w:spacing w:before="60" w:after="60"/>
              <w:jc w:val="center"/>
              <w:rPr>
                <w:rFonts w:ascii="Titillium" w:hAnsi="Titillium" w:cs="Calibri"/>
                <w:b/>
                <w:sz w:val="18"/>
                <w:szCs w:val="18"/>
                <w:lang w:eastAsia="it-IT"/>
              </w:rPr>
            </w:pPr>
            <w:r>
              <w:rPr>
                <w:rFonts w:ascii="Titillium" w:hAnsi="Titillium" w:cs="Calibri"/>
                <w:b/>
                <w:sz w:val="18"/>
                <w:szCs w:val="18"/>
                <w:lang w:eastAsia="it-IT"/>
              </w:rPr>
              <w:t>PUNTEGGIO MASSIMO</w:t>
            </w:r>
          </w:p>
        </w:tc>
      </w:tr>
      <w:tr w:rsidR="00276DF7" w14:paraId="0DEFD4AF" w14:textId="77777777" w:rsidTr="00EA5131">
        <w:tc>
          <w:tcPr>
            <w:tcW w:w="2501" w:type="pct"/>
            <w:tcBorders>
              <w:top w:val="single" w:sz="4" w:space="0" w:color="000000"/>
              <w:left w:val="single" w:sz="4" w:space="0" w:color="000000"/>
              <w:bottom w:val="single" w:sz="4" w:space="0" w:color="000000"/>
              <w:right w:val="single" w:sz="4" w:space="0" w:color="000000"/>
            </w:tcBorders>
          </w:tcPr>
          <w:p w14:paraId="69BACDED"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r>
              <w:rPr>
                <w:rFonts w:ascii="Titillium" w:hAnsi="Titillium"/>
                <w:sz w:val="18"/>
                <w:szCs w:val="18"/>
                <w:lang w:eastAsia="it-IT"/>
              </w:rPr>
              <w:t>Offerta tecnica</w:t>
            </w:r>
          </w:p>
        </w:tc>
        <w:tc>
          <w:tcPr>
            <w:tcW w:w="2499" w:type="pct"/>
            <w:tcBorders>
              <w:top w:val="single" w:sz="4" w:space="0" w:color="000000"/>
              <w:left w:val="single" w:sz="4" w:space="0" w:color="000000"/>
              <w:bottom w:val="single" w:sz="4" w:space="0" w:color="000000"/>
              <w:right w:val="single" w:sz="4" w:space="0" w:color="000000"/>
            </w:tcBorders>
          </w:tcPr>
          <w:p w14:paraId="3E7AF402" w14:textId="77777777" w:rsidR="00276DF7" w:rsidRDefault="00276DF7" w:rsidP="00276DF7">
            <w:pPr>
              <w:shd w:val="clear" w:color="auto" w:fill="F2F2F2" w:themeFill="background1" w:themeFillShade="F2"/>
              <w:spacing w:before="60" w:after="60"/>
              <w:jc w:val="center"/>
              <w:rPr>
                <w:rFonts w:ascii="Titillium" w:hAnsi="Titillium"/>
                <w:i/>
                <w:sz w:val="18"/>
                <w:szCs w:val="18"/>
                <w:lang w:eastAsia="it-IT"/>
              </w:rPr>
            </w:pPr>
            <w:r>
              <w:rPr>
                <w:rFonts w:ascii="Titillium" w:hAnsi="Titillium"/>
                <w:i/>
                <w:sz w:val="18"/>
                <w:szCs w:val="18"/>
                <w:lang w:eastAsia="it-IT"/>
              </w:rPr>
              <w:t>... [indicare punteggio]</w:t>
            </w:r>
          </w:p>
        </w:tc>
      </w:tr>
      <w:tr w:rsidR="00276DF7" w14:paraId="70DEC3CE" w14:textId="77777777" w:rsidTr="00EA5131">
        <w:tc>
          <w:tcPr>
            <w:tcW w:w="2501" w:type="pct"/>
            <w:tcBorders>
              <w:top w:val="single" w:sz="4" w:space="0" w:color="000000"/>
              <w:left w:val="single" w:sz="4" w:space="0" w:color="000000"/>
              <w:bottom w:val="single" w:sz="4" w:space="0" w:color="000000"/>
              <w:right w:val="single" w:sz="4" w:space="0" w:color="000000"/>
            </w:tcBorders>
          </w:tcPr>
          <w:p w14:paraId="44BEFCE3"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r>
              <w:rPr>
                <w:rFonts w:ascii="Titillium" w:hAnsi="Titillium"/>
                <w:sz w:val="18"/>
                <w:szCs w:val="18"/>
                <w:lang w:eastAsia="it-IT"/>
              </w:rPr>
              <w:t>Offerta economica</w:t>
            </w:r>
          </w:p>
        </w:tc>
        <w:tc>
          <w:tcPr>
            <w:tcW w:w="2499" w:type="pct"/>
            <w:tcBorders>
              <w:top w:val="single" w:sz="4" w:space="0" w:color="000000"/>
              <w:left w:val="single" w:sz="4" w:space="0" w:color="000000"/>
              <w:bottom w:val="single" w:sz="4" w:space="0" w:color="000000"/>
              <w:right w:val="single" w:sz="4" w:space="0" w:color="000000"/>
            </w:tcBorders>
          </w:tcPr>
          <w:p w14:paraId="6DF87CF5" w14:textId="77777777" w:rsidR="00276DF7" w:rsidRDefault="00276DF7" w:rsidP="00276DF7">
            <w:pPr>
              <w:shd w:val="clear" w:color="auto" w:fill="F2F2F2" w:themeFill="background1" w:themeFillShade="F2"/>
              <w:spacing w:before="60" w:after="60"/>
              <w:jc w:val="center"/>
              <w:rPr>
                <w:rFonts w:ascii="Titillium" w:hAnsi="Titillium"/>
                <w:i/>
                <w:sz w:val="18"/>
                <w:szCs w:val="18"/>
                <w:lang w:eastAsia="it-IT"/>
              </w:rPr>
            </w:pPr>
            <w:r>
              <w:rPr>
                <w:rFonts w:ascii="Titillium" w:hAnsi="Titillium"/>
                <w:i/>
                <w:sz w:val="18"/>
                <w:szCs w:val="18"/>
                <w:lang w:eastAsia="it-IT"/>
              </w:rPr>
              <w:t>... [indicare punteggio]</w:t>
            </w:r>
          </w:p>
        </w:tc>
      </w:tr>
      <w:tr w:rsidR="00276DF7" w14:paraId="7C633F04" w14:textId="77777777" w:rsidTr="00EA5131">
        <w:tc>
          <w:tcPr>
            <w:tcW w:w="2501" w:type="pct"/>
            <w:tcBorders>
              <w:top w:val="single" w:sz="4" w:space="0" w:color="000000"/>
              <w:left w:val="single" w:sz="4" w:space="0" w:color="000000"/>
              <w:bottom w:val="single" w:sz="4" w:space="0" w:color="000000"/>
              <w:right w:val="single" w:sz="4" w:space="0" w:color="000000"/>
            </w:tcBorders>
            <w:shd w:val="clear" w:color="auto" w:fill="D9D9D9"/>
          </w:tcPr>
          <w:p w14:paraId="2D0A98F8" w14:textId="77777777" w:rsidR="00276DF7" w:rsidRDefault="00276DF7" w:rsidP="00276DF7">
            <w:pPr>
              <w:shd w:val="clear" w:color="auto" w:fill="F2F2F2" w:themeFill="background1" w:themeFillShade="F2"/>
              <w:spacing w:before="60" w:after="60"/>
              <w:jc w:val="center"/>
              <w:rPr>
                <w:rFonts w:ascii="Titillium" w:hAnsi="Titillium" w:cs="Calibri"/>
                <w:sz w:val="18"/>
                <w:szCs w:val="18"/>
                <w:lang w:eastAsia="it-IT"/>
              </w:rPr>
            </w:pPr>
            <w:r>
              <w:rPr>
                <w:rFonts w:ascii="Titillium" w:hAnsi="Titillium" w:cs="Calibri"/>
                <w:sz w:val="18"/>
                <w:szCs w:val="18"/>
                <w:lang w:eastAsia="it-IT"/>
              </w:rPr>
              <w:t>TOTALE</w:t>
            </w: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14:paraId="0A9B2190" w14:textId="77777777" w:rsidR="00276DF7" w:rsidRDefault="00276DF7" w:rsidP="00276DF7">
            <w:pPr>
              <w:shd w:val="clear" w:color="auto" w:fill="F2F2F2" w:themeFill="background1" w:themeFillShade="F2"/>
              <w:spacing w:before="60" w:after="60"/>
              <w:jc w:val="center"/>
              <w:rPr>
                <w:rFonts w:ascii="Titillium" w:hAnsi="Titillium" w:cs="Calibri"/>
                <w:sz w:val="18"/>
                <w:szCs w:val="18"/>
                <w:lang w:eastAsia="it-IT"/>
              </w:rPr>
            </w:pPr>
            <w:r>
              <w:rPr>
                <w:rFonts w:ascii="Titillium" w:hAnsi="Titillium" w:cs="Calibri"/>
                <w:sz w:val="18"/>
                <w:szCs w:val="18"/>
                <w:lang w:eastAsia="it-IT"/>
              </w:rPr>
              <w:t>100</w:t>
            </w:r>
          </w:p>
        </w:tc>
      </w:tr>
    </w:tbl>
    <w:p w14:paraId="06757504"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sz w:val="18"/>
          <w:szCs w:val="18"/>
          <w:lang w:eastAsia="it-IT"/>
        </w:rPr>
      </w:pPr>
      <w:r w:rsidRPr="00D86312">
        <w:rPr>
          <w:rFonts w:ascii="Titillium" w:hAnsi="Titillium" w:cs="Calibri"/>
          <w:i/>
          <w:sz w:val="18"/>
          <w:szCs w:val="18"/>
          <w:lang w:eastAsia="it-IT"/>
        </w:rPr>
        <w:t xml:space="preserve">N.B.: </w:t>
      </w:r>
      <w:r>
        <w:rPr>
          <w:rFonts w:ascii="Titillium" w:hAnsi="Titillium" w:cs="Calibri"/>
          <w:i/>
          <w:sz w:val="18"/>
          <w:szCs w:val="18"/>
          <w:lang w:eastAsia="it-IT"/>
        </w:rPr>
        <w:t>Ai sensi de</w:t>
      </w:r>
      <w:r w:rsidRPr="00D86312">
        <w:rPr>
          <w:rFonts w:ascii="Titillium" w:hAnsi="Titillium" w:cs="Calibri"/>
          <w:i/>
          <w:sz w:val="18"/>
          <w:szCs w:val="18"/>
          <w:lang w:eastAsia="it-IT"/>
        </w:rPr>
        <w:t>ll’art</w:t>
      </w:r>
      <w:r>
        <w:rPr>
          <w:rFonts w:ascii="Titillium" w:hAnsi="Titillium" w:cs="Calibri"/>
          <w:i/>
          <w:sz w:val="18"/>
          <w:szCs w:val="18"/>
          <w:lang w:eastAsia="it-IT"/>
        </w:rPr>
        <w:t xml:space="preserve">icolo </w:t>
      </w:r>
      <w:r w:rsidRPr="00D86312">
        <w:rPr>
          <w:rFonts w:ascii="Titillium" w:hAnsi="Titillium" w:cs="Calibri"/>
          <w:i/>
          <w:sz w:val="18"/>
          <w:szCs w:val="18"/>
          <w:lang w:eastAsia="it-IT"/>
        </w:rPr>
        <w:t xml:space="preserve">108 comma 4 </w:t>
      </w:r>
      <w:r>
        <w:rPr>
          <w:rFonts w:ascii="Titillium" w:hAnsi="Titillium" w:cs="Calibri"/>
          <w:i/>
          <w:sz w:val="18"/>
          <w:szCs w:val="18"/>
          <w:lang w:eastAsia="it-IT"/>
        </w:rPr>
        <w:t xml:space="preserve">quando </w:t>
      </w:r>
      <w:r w:rsidRPr="00D86312">
        <w:rPr>
          <w:rFonts w:ascii="Titillium" w:hAnsi="Titillium" w:cs="Calibri"/>
          <w:i/>
          <w:sz w:val="18"/>
          <w:szCs w:val="18"/>
          <w:lang w:eastAsia="it-IT"/>
        </w:rPr>
        <w:t>i</w:t>
      </w:r>
      <w:r>
        <w:rPr>
          <w:rFonts w:ascii="Titillium" w:hAnsi="Titillium" w:cs="Calibri"/>
          <w:i/>
          <w:sz w:val="18"/>
          <w:szCs w:val="18"/>
          <w:lang w:eastAsia="it-IT"/>
        </w:rPr>
        <w:t xml:space="preserve"> </w:t>
      </w:r>
      <w:r w:rsidRPr="00D86312">
        <w:rPr>
          <w:rFonts w:ascii="Titillium" w:hAnsi="Titillium" w:cs="Calibri"/>
          <w:i/>
          <w:sz w:val="18"/>
          <w:szCs w:val="18"/>
          <w:lang w:eastAsia="it-IT"/>
        </w:rPr>
        <w:t xml:space="preserve">beni e servizi informatici oggetto di appalto sono impiegati </w:t>
      </w:r>
      <w:r>
        <w:rPr>
          <w:rFonts w:ascii="Titillium" w:hAnsi="Titillium" w:cs="Calibri"/>
          <w:i/>
          <w:sz w:val="18"/>
          <w:szCs w:val="18"/>
          <w:lang w:eastAsia="it-IT"/>
        </w:rPr>
        <w:t>in u</w:t>
      </w:r>
      <w:r w:rsidRPr="00D86312">
        <w:rPr>
          <w:rFonts w:ascii="Titillium" w:hAnsi="Titillium" w:cs="Calibri"/>
          <w:i/>
          <w:sz w:val="18"/>
          <w:szCs w:val="18"/>
          <w:lang w:eastAsia="it-IT"/>
        </w:rPr>
        <w:t>n</w:t>
      </w:r>
      <w:r>
        <w:rPr>
          <w:rFonts w:ascii="Titillium" w:hAnsi="Titillium" w:cs="Calibri"/>
          <w:i/>
          <w:sz w:val="18"/>
          <w:szCs w:val="18"/>
          <w:lang w:eastAsia="it-IT"/>
        </w:rPr>
        <w:t xml:space="preserve"> </w:t>
      </w:r>
      <w:r w:rsidRPr="00D86312">
        <w:rPr>
          <w:rFonts w:ascii="Titillium" w:hAnsi="Titillium" w:cs="Calibri"/>
          <w:i/>
          <w:sz w:val="18"/>
          <w:szCs w:val="18"/>
          <w:lang w:eastAsia="it-IT"/>
        </w:rPr>
        <w:t>contesto connesso alla tutela degli interessi nazionali strategici,</w:t>
      </w:r>
      <w:r>
        <w:rPr>
          <w:rFonts w:ascii="Titillium" w:hAnsi="Titillium" w:cs="Calibri"/>
          <w:i/>
          <w:sz w:val="18"/>
          <w:szCs w:val="18"/>
          <w:lang w:eastAsia="it-IT"/>
        </w:rPr>
        <w:t xml:space="preserve"> </w:t>
      </w:r>
      <w:r w:rsidRPr="00D86312">
        <w:rPr>
          <w:rFonts w:ascii="Titillium" w:hAnsi="Titillium" w:cs="Calibri"/>
          <w:i/>
          <w:sz w:val="18"/>
          <w:szCs w:val="18"/>
          <w:lang w:eastAsia="it-IT"/>
        </w:rPr>
        <w:t>la stazione appaltante stabilisce un t</w:t>
      </w:r>
      <w:r>
        <w:rPr>
          <w:rFonts w:ascii="Titillium" w:hAnsi="Titillium" w:cs="Calibri"/>
          <w:i/>
          <w:sz w:val="18"/>
          <w:szCs w:val="18"/>
          <w:lang w:eastAsia="it-IT"/>
        </w:rPr>
        <w:t xml:space="preserve">etto massimo per il punteggio </w:t>
      </w:r>
      <w:r w:rsidRPr="00D86312">
        <w:rPr>
          <w:rFonts w:ascii="Titillium" w:hAnsi="Titillium" w:cs="Calibri"/>
          <w:i/>
          <w:sz w:val="18"/>
          <w:szCs w:val="18"/>
          <w:lang w:eastAsia="it-IT"/>
        </w:rPr>
        <w:t>economico entro il limite del</w:t>
      </w:r>
      <w:r>
        <w:rPr>
          <w:rFonts w:ascii="Titillium" w:hAnsi="Titillium" w:cs="Calibri"/>
          <w:i/>
          <w:sz w:val="18"/>
          <w:szCs w:val="18"/>
          <w:lang w:eastAsia="it-IT"/>
        </w:rPr>
        <w:t xml:space="preserve"> 10 per cento. </w:t>
      </w:r>
    </w:p>
    <w:p w14:paraId="6316D7F8"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sz w:val="18"/>
          <w:szCs w:val="18"/>
          <w:lang w:eastAsia="it-IT"/>
        </w:rPr>
      </w:pPr>
      <w:r>
        <w:rPr>
          <w:rFonts w:ascii="Titillium" w:hAnsi="Titillium" w:cs="Calibri"/>
          <w:i/>
          <w:sz w:val="18"/>
          <w:szCs w:val="18"/>
          <w:lang w:eastAsia="it-IT"/>
        </w:rPr>
        <w:t xml:space="preserve">Per i contratti </w:t>
      </w:r>
      <w:r w:rsidRPr="00D86312">
        <w:rPr>
          <w:rFonts w:ascii="Titillium" w:hAnsi="Titillium" w:cs="Calibri"/>
          <w:i/>
          <w:sz w:val="18"/>
          <w:szCs w:val="18"/>
          <w:lang w:eastAsia="it-IT"/>
        </w:rPr>
        <w:t>ad alta</w:t>
      </w:r>
      <w:r>
        <w:rPr>
          <w:rFonts w:ascii="Titillium" w:hAnsi="Titillium" w:cs="Calibri"/>
          <w:i/>
          <w:sz w:val="18"/>
          <w:szCs w:val="18"/>
          <w:lang w:eastAsia="it-IT"/>
        </w:rPr>
        <w:t xml:space="preserve"> intensità </w:t>
      </w:r>
      <w:r w:rsidRPr="00D86312">
        <w:rPr>
          <w:rFonts w:ascii="Titillium" w:hAnsi="Titillium" w:cs="Calibri"/>
          <w:i/>
          <w:sz w:val="18"/>
          <w:szCs w:val="18"/>
          <w:lang w:eastAsia="it-IT"/>
        </w:rPr>
        <w:t>di manodopera, la sta</w:t>
      </w:r>
      <w:r>
        <w:rPr>
          <w:rFonts w:ascii="Titillium" w:hAnsi="Titillium" w:cs="Calibri"/>
          <w:i/>
          <w:sz w:val="18"/>
          <w:szCs w:val="18"/>
          <w:lang w:eastAsia="it-IT"/>
        </w:rPr>
        <w:t xml:space="preserve">zione appaltante stabilisce un </w:t>
      </w:r>
      <w:r w:rsidRPr="00D86312">
        <w:rPr>
          <w:rFonts w:ascii="Titillium" w:hAnsi="Titillium" w:cs="Calibri"/>
          <w:i/>
          <w:sz w:val="18"/>
          <w:szCs w:val="18"/>
          <w:lang w:eastAsia="it-IT"/>
        </w:rPr>
        <w:t>tetto</w:t>
      </w:r>
      <w:r>
        <w:rPr>
          <w:rFonts w:ascii="Titillium" w:hAnsi="Titillium" w:cs="Calibri"/>
          <w:i/>
          <w:sz w:val="18"/>
          <w:szCs w:val="18"/>
          <w:lang w:eastAsia="it-IT"/>
        </w:rPr>
        <w:t xml:space="preserve"> </w:t>
      </w:r>
      <w:r w:rsidRPr="00D86312">
        <w:rPr>
          <w:rFonts w:ascii="Titillium" w:hAnsi="Titillium" w:cs="Calibri"/>
          <w:i/>
          <w:sz w:val="18"/>
          <w:szCs w:val="18"/>
          <w:lang w:eastAsia="it-IT"/>
        </w:rPr>
        <w:t>massimo per il punteggio economico entro il limite del 30 per cento</w:t>
      </w:r>
      <w:r>
        <w:rPr>
          <w:rFonts w:ascii="Titillium" w:hAnsi="Titillium" w:cs="Calibri"/>
          <w:i/>
          <w:sz w:val="18"/>
          <w:szCs w:val="18"/>
          <w:lang w:eastAsia="it-IT"/>
        </w:rPr>
        <w:t>.</w:t>
      </w:r>
    </w:p>
    <w:p w14:paraId="7E6823CD" w14:textId="77777777" w:rsidR="00276DF7" w:rsidRDefault="00276DF7" w:rsidP="00276DF7">
      <w:pPr>
        <w:shd w:val="clear" w:color="auto" w:fill="F2F2F2" w:themeFill="background1" w:themeFillShade="F2"/>
        <w:spacing w:before="60" w:after="60"/>
        <w:rPr>
          <w:rFonts w:ascii="Titillium" w:hAnsi="Titillium" w:cs="Calibri"/>
          <w:i/>
          <w:sz w:val="18"/>
          <w:szCs w:val="18"/>
          <w:lang w:eastAsia="it-IT"/>
        </w:rPr>
      </w:pPr>
    </w:p>
    <w:p w14:paraId="7C326016" w14:textId="77777777" w:rsidR="00276DF7" w:rsidRDefault="00276DF7" w:rsidP="00276DF7">
      <w:pPr>
        <w:pStyle w:val="Titolo3"/>
        <w:numPr>
          <w:ilvl w:val="1"/>
          <w:numId w:val="4"/>
        </w:numPr>
        <w:shd w:val="clear" w:color="auto" w:fill="F2F2F2" w:themeFill="background1" w:themeFillShade="F2"/>
        <w:ind w:left="426" w:hanging="426"/>
      </w:pPr>
      <w:bookmarkStart w:id="1968" w:name="_Ref497226940"/>
      <w:bookmarkStart w:id="1969" w:name="_Ref497226908"/>
      <w:bookmarkStart w:id="1970" w:name="_Ref129786124"/>
      <w:bookmarkStart w:id="1971" w:name="_Toc139549445"/>
      <w:r>
        <w:rPr>
          <w:rFonts w:ascii="Titillium" w:hAnsi="Titillium"/>
          <w:iCs/>
          <w:caps w:val="0"/>
          <w:sz w:val="18"/>
          <w:szCs w:val="18"/>
        </w:rPr>
        <w:t>CRITERI DI VALUTAZIONE DELL’OFFERTA TECNICA</w:t>
      </w:r>
      <w:bookmarkEnd w:id="1968"/>
      <w:bookmarkEnd w:id="1969"/>
      <w:bookmarkEnd w:id="1970"/>
      <w:bookmarkEnd w:id="1971"/>
    </w:p>
    <w:p w14:paraId="339D2C7F" w14:textId="77777777" w:rsidR="00276DF7" w:rsidRDefault="00276DF7" w:rsidP="00276DF7">
      <w:pPr>
        <w:shd w:val="clear" w:color="auto" w:fill="F2F2F2" w:themeFill="background1" w:themeFillShade="F2"/>
        <w:spacing w:before="60" w:after="60"/>
        <w:rPr>
          <w:rFonts w:ascii="Titillium" w:hAnsi="Titillium" w:cs="Calibri"/>
          <w:sz w:val="18"/>
          <w:szCs w:val="18"/>
          <w:lang w:eastAsia="it-IT"/>
        </w:rPr>
      </w:pPr>
      <w:r>
        <w:rPr>
          <w:rFonts w:ascii="Titillium" w:hAnsi="Titillium" w:cs="Calibri"/>
          <w:sz w:val="18"/>
          <w:szCs w:val="18"/>
          <w:lang w:eastAsia="it-IT"/>
        </w:rPr>
        <w:t>Il punteggio dell’offerta tecnica è attribuito sulla base dei criteri di valutazione elencati nella sottostante tabella</w:t>
      </w:r>
      <w:r>
        <w:rPr>
          <w:rFonts w:ascii="Titillium" w:hAnsi="Titillium"/>
          <w:sz w:val="18"/>
          <w:szCs w:val="18"/>
        </w:rPr>
        <w:t xml:space="preserve"> con</w:t>
      </w:r>
      <w:r>
        <w:rPr>
          <w:rFonts w:ascii="Titillium" w:hAnsi="Titillium" w:cs="Calibri"/>
          <w:sz w:val="18"/>
          <w:szCs w:val="18"/>
          <w:lang w:eastAsia="it-IT"/>
        </w:rPr>
        <w:t xml:space="preserve"> la relativa ripartizione dei punteggi.</w:t>
      </w:r>
    </w:p>
    <w:p w14:paraId="2FC0CB65" w14:textId="77777777" w:rsidR="00276DF7" w:rsidRPr="00041A5C" w:rsidRDefault="00276DF7" w:rsidP="00276DF7">
      <w:pPr>
        <w:shd w:val="clear" w:color="auto" w:fill="F2F2F2" w:themeFill="background1" w:themeFillShade="F2"/>
        <w:spacing w:before="60" w:after="60"/>
        <w:rPr>
          <w:rFonts w:ascii="Titillium" w:hAnsi="Titillium" w:cs="Calibri"/>
          <w:sz w:val="18"/>
          <w:szCs w:val="18"/>
          <w:lang w:eastAsia="it-IT"/>
        </w:rPr>
      </w:pPr>
      <w:r w:rsidRPr="00041A5C">
        <w:rPr>
          <w:rFonts w:ascii="Titillium" w:hAnsi="Titillium" w:cs="Calibri"/>
          <w:sz w:val="18"/>
          <w:szCs w:val="18"/>
          <w:lang w:eastAsia="it-IT"/>
        </w:rPr>
        <w:t>Nella colonna identificata con la lettera D vengono indicati i “Punteggi discrezionali”, vale a dire i punteggi il cui coefficiente è attribuito in ragione dell’esercizio della discrezionalità spettante alla commissione giudicatrice.</w:t>
      </w:r>
    </w:p>
    <w:p w14:paraId="1247B191" w14:textId="77777777" w:rsidR="00276DF7" w:rsidRPr="00041A5C" w:rsidRDefault="00276DF7" w:rsidP="00276DF7">
      <w:pPr>
        <w:shd w:val="clear" w:color="auto" w:fill="F2F2F2" w:themeFill="background1" w:themeFillShade="F2"/>
        <w:spacing w:before="60" w:after="60"/>
        <w:rPr>
          <w:rFonts w:ascii="Titillium" w:hAnsi="Titillium" w:cs="Calibri"/>
          <w:sz w:val="18"/>
          <w:szCs w:val="18"/>
          <w:lang w:eastAsia="it-IT"/>
        </w:rPr>
      </w:pPr>
      <w:r w:rsidRPr="00041A5C">
        <w:rPr>
          <w:rFonts w:ascii="Titillium" w:hAnsi="Titillium" w:cs="Calibri"/>
          <w:sz w:val="18"/>
          <w:szCs w:val="18"/>
          <w:lang w:eastAsia="it-IT"/>
        </w:rPr>
        <w:t>Nella colonna identificata con la lettera Q vengono indicati i “Punteggi quantitativi”, vale a dire i punteggi il cui coefficiente è attribuito mediante applicazione di una formula matematica.</w:t>
      </w:r>
    </w:p>
    <w:p w14:paraId="6373D347" w14:textId="77777777" w:rsidR="00276DF7" w:rsidRDefault="00276DF7" w:rsidP="00276DF7">
      <w:pPr>
        <w:shd w:val="clear" w:color="auto" w:fill="F2F2F2" w:themeFill="background1" w:themeFillShade="F2"/>
        <w:spacing w:before="60" w:after="60"/>
        <w:rPr>
          <w:rFonts w:ascii="Titillium" w:hAnsi="Titillium" w:cs="Calibri"/>
          <w:sz w:val="18"/>
          <w:szCs w:val="18"/>
          <w:lang w:eastAsia="it-IT"/>
        </w:rPr>
      </w:pPr>
      <w:r w:rsidRPr="00041A5C">
        <w:rPr>
          <w:rFonts w:ascii="Titillium" w:hAnsi="Titillium" w:cs="Calibri"/>
          <w:sz w:val="18"/>
          <w:szCs w:val="18"/>
          <w:lang w:eastAsia="it-IT"/>
        </w:rPr>
        <w:t>Nella colonna identificata dalla lettera T vengono indicati i “Punteggi tabellari”, vale a dire i punteggi fissi e predefiniti che saranno attribuiti o non attribuiti in ragione dell’offerta o mancata offerta di quanto specificamente richiesto.</w:t>
      </w:r>
      <w:r>
        <w:rPr>
          <w:rFonts w:ascii="Titillium" w:hAnsi="Titillium" w:cs="Calibri"/>
          <w:sz w:val="18"/>
          <w:szCs w:val="18"/>
          <w:lang w:eastAsia="it-IT"/>
        </w:rPr>
        <w:t xml:space="preserve"> </w:t>
      </w:r>
    </w:p>
    <w:p w14:paraId="6D7D2F32" w14:textId="77777777" w:rsidR="00276DF7" w:rsidRDefault="00276DF7" w:rsidP="00276DF7">
      <w:pPr>
        <w:shd w:val="clear" w:color="auto" w:fill="F2F2F2" w:themeFill="background1" w:themeFillShade="F2"/>
        <w:spacing w:before="120" w:after="60"/>
        <w:rPr>
          <w:rFonts w:ascii="Titillium" w:hAnsi="Titillium"/>
          <w:b/>
          <w:i/>
          <w:sz w:val="18"/>
          <w:szCs w:val="18"/>
          <w:lang w:eastAsia="it-IT"/>
        </w:rPr>
      </w:pPr>
      <w:r>
        <w:rPr>
          <w:rFonts w:ascii="Titillium" w:hAnsi="Titillium"/>
          <w:b/>
          <w:i/>
          <w:sz w:val="18"/>
          <w:szCs w:val="18"/>
          <w:lang w:eastAsia="it-IT"/>
        </w:rPr>
        <w:t>Tabella dei criteri discrezionali (D), quantitativi (Q) e tabellari (T) di valutazione dell’offerta tecnica</w:t>
      </w:r>
    </w:p>
    <w:tbl>
      <w:tblPr>
        <w:tblW w:w="5056" w:type="pct"/>
        <w:tblInd w:w="-108" w:type="dxa"/>
        <w:tblLook w:val="04A0" w:firstRow="1" w:lastRow="0" w:firstColumn="1" w:lastColumn="0" w:noHBand="0" w:noVBand="1"/>
      </w:tblPr>
      <w:tblGrid>
        <w:gridCol w:w="451"/>
        <w:gridCol w:w="1834"/>
        <w:gridCol w:w="959"/>
        <w:gridCol w:w="479"/>
        <w:gridCol w:w="541"/>
        <w:gridCol w:w="2167"/>
        <w:gridCol w:w="1105"/>
        <w:gridCol w:w="1116"/>
        <w:gridCol w:w="1084"/>
      </w:tblGrid>
      <w:tr w:rsidR="000B3645" w14:paraId="04492A1F" w14:textId="77777777" w:rsidTr="00EA5131">
        <w:tc>
          <w:tcPr>
            <w:tcW w:w="4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887A49" w14:textId="77777777" w:rsidR="00276DF7" w:rsidRDefault="00276DF7" w:rsidP="00276DF7">
            <w:pPr>
              <w:shd w:val="clear" w:color="auto" w:fill="F2F2F2" w:themeFill="background1" w:themeFillShade="F2"/>
              <w:spacing w:before="60" w:after="60"/>
              <w:jc w:val="center"/>
              <w:rPr>
                <w:rFonts w:ascii="Titillium" w:hAnsi="Titillium"/>
                <w:bCs/>
                <w:smallCaps/>
                <w:color w:val="000000"/>
                <w:sz w:val="18"/>
                <w:szCs w:val="18"/>
              </w:rPr>
            </w:pPr>
            <w:r>
              <w:rPr>
                <w:rFonts w:ascii="Titillium" w:hAnsi="Titillium"/>
                <w:bCs/>
                <w:smallCaps/>
                <w:color w:val="000000"/>
                <w:sz w:val="18"/>
                <w:szCs w:val="18"/>
              </w:rPr>
              <w:t>n°</w:t>
            </w: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C83CBA" w14:textId="77777777" w:rsidR="00276DF7" w:rsidRDefault="00276DF7" w:rsidP="00276DF7">
            <w:pPr>
              <w:shd w:val="clear" w:color="auto" w:fill="F2F2F2" w:themeFill="background1" w:themeFillShade="F2"/>
              <w:spacing w:before="60" w:after="60"/>
              <w:jc w:val="center"/>
              <w:rPr>
                <w:rFonts w:ascii="Titillium" w:hAnsi="Titillium" w:cs="Calibri"/>
                <w:bCs/>
                <w:smallCaps/>
                <w:sz w:val="18"/>
                <w:szCs w:val="18"/>
                <w:lang w:eastAsia="it-IT"/>
              </w:rPr>
            </w:pPr>
            <w:r>
              <w:rPr>
                <w:rFonts w:ascii="Titillium" w:hAnsi="Titillium" w:cs="Calibri"/>
                <w:bCs/>
                <w:smallCaps/>
                <w:sz w:val="18"/>
                <w:szCs w:val="18"/>
                <w:lang w:eastAsia="it-IT"/>
              </w:rPr>
              <w:t>criteri di valutazione</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CE8F4C" w14:textId="77777777" w:rsidR="00276DF7" w:rsidRDefault="00276DF7" w:rsidP="00276DF7">
            <w:pPr>
              <w:shd w:val="clear" w:color="auto" w:fill="F2F2F2" w:themeFill="background1" w:themeFillShade="F2"/>
              <w:spacing w:before="60" w:after="60"/>
              <w:jc w:val="center"/>
              <w:rPr>
                <w:rFonts w:ascii="Titillium" w:hAnsi="Titillium"/>
                <w:bCs/>
                <w:smallCaps/>
                <w:color w:val="000000"/>
                <w:sz w:val="18"/>
                <w:szCs w:val="18"/>
              </w:rPr>
            </w:pPr>
            <w:r>
              <w:rPr>
                <w:rFonts w:ascii="Titillium" w:hAnsi="Titillium"/>
                <w:bCs/>
                <w:smallCaps/>
                <w:color w:val="000000"/>
                <w:sz w:val="18"/>
                <w:szCs w:val="18"/>
              </w:rPr>
              <w:t>punti max</w:t>
            </w:r>
          </w:p>
        </w:tc>
        <w:tc>
          <w:tcPr>
            <w:tcW w:w="482" w:type="dxa"/>
            <w:tcBorders>
              <w:top w:val="single" w:sz="4" w:space="0" w:color="000000"/>
              <w:left w:val="single" w:sz="4" w:space="0" w:color="000000"/>
              <w:bottom w:val="single" w:sz="4" w:space="0" w:color="000000"/>
              <w:right w:val="single" w:sz="4" w:space="0" w:color="000000"/>
            </w:tcBorders>
            <w:shd w:val="clear" w:color="auto" w:fill="D9D9D9"/>
          </w:tcPr>
          <w:p w14:paraId="075C4DD3"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p>
        </w:tc>
        <w:tc>
          <w:tcPr>
            <w:tcW w:w="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224AC0"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9AA34E" w14:textId="77777777" w:rsidR="00276DF7" w:rsidRDefault="00276DF7" w:rsidP="00276DF7">
            <w:pPr>
              <w:shd w:val="clear" w:color="auto" w:fill="F2F2F2" w:themeFill="background1" w:themeFillShade="F2"/>
              <w:spacing w:before="60" w:after="60"/>
              <w:jc w:val="center"/>
              <w:rPr>
                <w:rFonts w:ascii="Titillium" w:hAnsi="Titillium"/>
                <w:bCs/>
                <w:smallCaps/>
                <w:color w:val="000000"/>
                <w:sz w:val="18"/>
                <w:szCs w:val="18"/>
              </w:rPr>
            </w:pPr>
            <w:r>
              <w:rPr>
                <w:rFonts w:ascii="Titillium" w:hAnsi="Titillium"/>
                <w:bCs/>
                <w:smallCaps/>
                <w:color w:val="000000"/>
                <w:sz w:val="18"/>
                <w:szCs w:val="18"/>
              </w:rPr>
              <w:t>sub-criteri di valutazione</w:t>
            </w: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77D567" w14:textId="77777777" w:rsidR="00276DF7" w:rsidRDefault="00276DF7" w:rsidP="00276DF7">
            <w:pPr>
              <w:shd w:val="clear" w:color="auto" w:fill="F2F2F2" w:themeFill="background1" w:themeFillShade="F2"/>
              <w:spacing w:before="60" w:after="60"/>
              <w:jc w:val="center"/>
              <w:rPr>
                <w:rFonts w:ascii="Titillium" w:hAnsi="Titillium"/>
                <w:bCs/>
                <w:smallCaps/>
                <w:color w:val="000000"/>
                <w:sz w:val="18"/>
                <w:szCs w:val="18"/>
              </w:rPr>
            </w:pPr>
            <w:r>
              <w:rPr>
                <w:rFonts w:ascii="Titillium" w:hAnsi="Titillium"/>
                <w:bCs/>
                <w:smallCaps/>
                <w:color w:val="000000"/>
                <w:sz w:val="18"/>
                <w:szCs w:val="18"/>
              </w:rPr>
              <w:t>punti D max</w:t>
            </w: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2CA2C" w14:textId="77777777" w:rsidR="00276DF7" w:rsidRDefault="00276DF7" w:rsidP="00276DF7">
            <w:pPr>
              <w:shd w:val="clear" w:color="auto" w:fill="F2F2F2" w:themeFill="background1" w:themeFillShade="F2"/>
              <w:spacing w:before="60" w:after="60"/>
              <w:jc w:val="center"/>
              <w:rPr>
                <w:rFonts w:ascii="Titillium" w:hAnsi="Titillium"/>
                <w:bCs/>
                <w:smallCaps/>
                <w:color w:val="000000"/>
                <w:sz w:val="18"/>
                <w:szCs w:val="18"/>
              </w:rPr>
            </w:pPr>
            <w:r>
              <w:rPr>
                <w:rFonts w:ascii="Titillium" w:hAnsi="Titillium"/>
                <w:bCs/>
                <w:smallCaps/>
                <w:color w:val="000000"/>
                <w:sz w:val="18"/>
                <w:szCs w:val="18"/>
              </w:rPr>
              <w:t>punti Q max</w:t>
            </w: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53008E" w14:textId="77777777" w:rsidR="00276DF7" w:rsidRDefault="00276DF7" w:rsidP="00276DF7">
            <w:pPr>
              <w:shd w:val="clear" w:color="auto" w:fill="F2F2F2" w:themeFill="background1" w:themeFillShade="F2"/>
              <w:spacing w:before="60" w:after="60"/>
              <w:jc w:val="center"/>
              <w:rPr>
                <w:rFonts w:ascii="Titillium" w:hAnsi="Titillium"/>
                <w:bCs/>
                <w:smallCaps/>
                <w:color w:val="000000"/>
                <w:sz w:val="18"/>
                <w:szCs w:val="18"/>
              </w:rPr>
            </w:pPr>
            <w:r>
              <w:rPr>
                <w:rFonts w:ascii="Titillium" w:hAnsi="Titillium"/>
                <w:bCs/>
                <w:smallCaps/>
                <w:color w:val="000000"/>
                <w:sz w:val="18"/>
                <w:szCs w:val="18"/>
              </w:rPr>
              <w:t>punti T max</w:t>
            </w:r>
          </w:p>
        </w:tc>
      </w:tr>
      <w:tr w:rsidR="00276DF7" w14:paraId="12165837" w14:textId="77777777" w:rsidTr="00EA5131">
        <w:tc>
          <w:tcPr>
            <w:tcW w:w="451" w:type="dxa"/>
            <w:vMerge w:val="restart"/>
            <w:tcBorders>
              <w:top w:val="single" w:sz="4" w:space="0" w:color="000000"/>
              <w:left w:val="single" w:sz="4" w:space="0" w:color="000000"/>
              <w:bottom w:val="single" w:sz="4" w:space="0" w:color="000000"/>
              <w:right w:val="single" w:sz="4" w:space="0" w:color="000000"/>
            </w:tcBorders>
            <w:vAlign w:val="center"/>
          </w:tcPr>
          <w:p w14:paraId="05E19546" w14:textId="77777777" w:rsidR="00276DF7" w:rsidRDefault="00276DF7" w:rsidP="00276DF7">
            <w:pPr>
              <w:shd w:val="clear" w:color="auto" w:fill="F2F2F2" w:themeFill="background1" w:themeFillShade="F2"/>
              <w:spacing w:before="60" w:after="60"/>
              <w:jc w:val="center"/>
              <w:rPr>
                <w:rFonts w:ascii="Titillium" w:hAnsi="Titillium"/>
                <w:bCs/>
                <w:sz w:val="18"/>
                <w:szCs w:val="18"/>
              </w:rPr>
            </w:pPr>
            <w:r>
              <w:rPr>
                <w:rFonts w:ascii="Titillium" w:hAnsi="Titillium"/>
                <w:bCs/>
                <w:sz w:val="18"/>
                <w:szCs w:val="18"/>
              </w:rPr>
              <w:t>1</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3A283FC6" w14:textId="77777777" w:rsidR="00276DF7" w:rsidRDefault="00276DF7" w:rsidP="00276DF7">
            <w:pPr>
              <w:shd w:val="clear" w:color="auto" w:fill="F2F2F2" w:themeFill="background1" w:themeFillShade="F2"/>
              <w:spacing w:before="60" w:after="60"/>
              <w:jc w:val="center"/>
            </w:pPr>
            <w:r>
              <w:rPr>
                <w:rFonts w:ascii="Titillium" w:hAnsi="Titillium"/>
                <w:bCs/>
                <w:sz w:val="18"/>
                <w:szCs w:val="18"/>
              </w:rPr>
              <w:t xml:space="preserve">… </w:t>
            </w:r>
            <w:r>
              <w:rPr>
                <w:rFonts w:ascii="Titillium" w:hAnsi="Titillium"/>
                <w:bCs/>
                <w:i/>
                <w:sz w:val="18"/>
                <w:szCs w:val="18"/>
              </w:rPr>
              <w:t xml:space="preserve"> [indicare criterio]</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35236240" w14:textId="77777777" w:rsidR="00276DF7" w:rsidRDefault="00276DF7" w:rsidP="00276DF7">
            <w:pPr>
              <w:shd w:val="clear" w:color="auto" w:fill="F2F2F2" w:themeFill="background1" w:themeFillShade="F2"/>
              <w:spacing w:before="60" w:after="60"/>
              <w:jc w:val="center"/>
              <w:rPr>
                <w:rFonts w:ascii="Titillium" w:hAnsi="Titillium"/>
                <w:bCs/>
                <w:sz w:val="18"/>
                <w:szCs w:val="18"/>
              </w:rPr>
            </w:pPr>
            <w:r>
              <w:rPr>
                <w:rFonts w:ascii="Titillium" w:hAnsi="Titillium"/>
                <w:bCs/>
                <w:sz w:val="18"/>
                <w:szCs w:val="18"/>
              </w:rPr>
              <w:t>…</w:t>
            </w:r>
          </w:p>
        </w:tc>
        <w:tc>
          <w:tcPr>
            <w:tcW w:w="482" w:type="dxa"/>
            <w:tcBorders>
              <w:top w:val="single" w:sz="4" w:space="0" w:color="000000"/>
              <w:left w:val="single" w:sz="4" w:space="0" w:color="000000"/>
              <w:bottom w:val="single" w:sz="4" w:space="0" w:color="000000"/>
              <w:right w:val="single" w:sz="4" w:space="0" w:color="000000"/>
            </w:tcBorders>
          </w:tcPr>
          <w:p w14:paraId="297D0A7E"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3D084410"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1.1</w:t>
            </w:r>
          </w:p>
        </w:tc>
        <w:tc>
          <w:tcPr>
            <w:tcW w:w="2177" w:type="dxa"/>
            <w:tcBorders>
              <w:top w:val="single" w:sz="4" w:space="0" w:color="000000"/>
              <w:left w:val="single" w:sz="4" w:space="0" w:color="000000"/>
              <w:bottom w:val="single" w:sz="4" w:space="0" w:color="000000"/>
              <w:right w:val="single" w:sz="4" w:space="0" w:color="000000"/>
            </w:tcBorders>
            <w:vAlign w:val="center"/>
          </w:tcPr>
          <w:p w14:paraId="0127EDD0" w14:textId="77777777" w:rsidR="00276DF7" w:rsidRDefault="00276DF7" w:rsidP="00276DF7">
            <w:pPr>
              <w:shd w:val="clear" w:color="auto" w:fill="F2F2F2" w:themeFill="background1" w:themeFillShade="F2"/>
              <w:spacing w:before="60" w:after="60"/>
              <w:jc w:val="center"/>
            </w:pPr>
            <w:r>
              <w:rPr>
                <w:rFonts w:ascii="Titillium" w:hAnsi="Titillium"/>
                <w:bCs/>
                <w:sz w:val="18"/>
                <w:szCs w:val="18"/>
              </w:rPr>
              <w:t>…</w:t>
            </w:r>
            <w:r>
              <w:rPr>
                <w:rFonts w:ascii="Titillium" w:hAnsi="Titillium"/>
                <w:bCs/>
                <w:i/>
                <w:sz w:val="18"/>
                <w:szCs w:val="18"/>
              </w:rPr>
              <w:t xml:space="preserve">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73DAE96D"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3039E287"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37B411A9"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w:t>
            </w:r>
          </w:p>
        </w:tc>
      </w:tr>
      <w:tr w:rsidR="00276DF7" w14:paraId="7B96BDF0" w14:textId="77777777" w:rsidTr="00EA5131">
        <w:tc>
          <w:tcPr>
            <w:tcW w:w="451" w:type="dxa"/>
            <w:vMerge/>
            <w:tcBorders>
              <w:top w:val="single" w:sz="4" w:space="0" w:color="000000"/>
              <w:left w:val="single" w:sz="4" w:space="0" w:color="000000"/>
              <w:bottom w:val="single" w:sz="4" w:space="0" w:color="000000"/>
              <w:right w:val="single" w:sz="4" w:space="0" w:color="000000"/>
            </w:tcBorders>
            <w:vAlign w:val="center"/>
          </w:tcPr>
          <w:p w14:paraId="7E42E4F5" w14:textId="77777777" w:rsidR="00276DF7" w:rsidRDefault="00276DF7" w:rsidP="00276DF7">
            <w:pPr>
              <w:shd w:val="clear" w:color="auto" w:fill="F2F2F2" w:themeFill="background1" w:themeFillShade="F2"/>
            </w:pPr>
          </w:p>
        </w:tc>
        <w:tc>
          <w:tcPr>
            <w:tcW w:w="1841" w:type="dxa"/>
            <w:vMerge/>
            <w:tcBorders>
              <w:top w:val="single" w:sz="4" w:space="0" w:color="000000"/>
              <w:left w:val="single" w:sz="4" w:space="0" w:color="000000"/>
              <w:bottom w:val="single" w:sz="4" w:space="0" w:color="000000"/>
              <w:right w:val="single" w:sz="4" w:space="0" w:color="000000"/>
            </w:tcBorders>
            <w:vAlign w:val="center"/>
          </w:tcPr>
          <w:p w14:paraId="675686EF" w14:textId="77777777" w:rsidR="00276DF7" w:rsidRDefault="00276DF7" w:rsidP="00276DF7">
            <w:pPr>
              <w:shd w:val="clear" w:color="auto" w:fill="F2F2F2" w:themeFill="background1" w:themeFillShade="F2"/>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7D836972" w14:textId="77777777" w:rsidR="00276DF7" w:rsidRDefault="00276DF7" w:rsidP="00276DF7">
            <w:pPr>
              <w:shd w:val="clear" w:color="auto" w:fill="F2F2F2" w:themeFill="background1" w:themeFillShade="F2"/>
            </w:pPr>
          </w:p>
        </w:tc>
        <w:tc>
          <w:tcPr>
            <w:tcW w:w="482" w:type="dxa"/>
            <w:tcBorders>
              <w:top w:val="single" w:sz="4" w:space="0" w:color="000000"/>
              <w:left w:val="single" w:sz="4" w:space="0" w:color="000000"/>
              <w:bottom w:val="single" w:sz="4" w:space="0" w:color="000000"/>
              <w:right w:val="single" w:sz="4" w:space="0" w:color="000000"/>
            </w:tcBorders>
          </w:tcPr>
          <w:p w14:paraId="35712676"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50DD5402"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1.2</w:t>
            </w:r>
          </w:p>
        </w:tc>
        <w:tc>
          <w:tcPr>
            <w:tcW w:w="2177" w:type="dxa"/>
            <w:tcBorders>
              <w:top w:val="single" w:sz="4" w:space="0" w:color="000000"/>
              <w:left w:val="single" w:sz="4" w:space="0" w:color="000000"/>
              <w:bottom w:val="single" w:sz="4" w:space="0" w:color="000000"/>
              <w:right w:val="single" w:sz="4" w:space="0" w:color="000000"/>
            </w:tcBorders>
            <w:vAlign w:val="center"/>
          </w:tcPr>
          <w:p w14:paraId="55ECB415" w14:textId="77777777" w:rsidR="00276DF7" w:rsidRDefault="00276DF7" w:rsidP="00276DF7">
            <w:pPr>
              <w:shd w:val="clear" w:color="auto" w:fill="F2F2F2" w:themeFill="background1" w:themeFillShade="F2"/>
              <w:spacing w:before="60" w:after="60"/>
              <w:jc w:val="center"/>
              <w:rPr>
                <w:rFonts w:ascii="Titillium" w:hAnsi="Titillium"/>
                <w:i/>
                <w:sz w:val="18"/>
                <w:szCs w:val="18"/>
              </w:rPr>
            </w:pPr>
            <w:r>
              <w:rPr>
                <w:rFonts w:ascii="Titillium" w:hAnsi="Titillium"/>
                <w:i/>
                <w:sz w:val="18"/>
                <w:szCs w:val="18"/>
              </w:rPr>
              <w:t>…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74C55DEC"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52B10DD6"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6D6CA22E"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w:t>
            </w:r>
          </w:p>
        </w:tc>
      </w:tr>
      <w:tr w:rsidR="00276DF7" w14:paraId="2818B07C" w14:textId="77777777" w:rsidTr="00EA5131">
        <w:tc>
          <w:tcPr>
            <w:tcW w:w="451" w:type="dxa"/>
            <w:vMerge w:val="restart"/>
            <w:tcBorders>
              <w:top w:val="single" w:sz="4" w:space="0" w:color="000000"/>
              <w:left w:val="single" w:sz="4" w:space="0" w:color="000000"/>
              <w:bottom w:val="single" w:sz="4" w:space="0" w:color="000000"/>
              <w:right w:val="single" w:sz="4" w:space="0" w:color="000000"/>
            </w:tcBorders>
            <w:vAlign w:val="center"/>
          </w:tcPr>
          <w:p w14:paraId="61018A82" w14:textId="77777777" w:rsidR="00276DF7" w:rsidRDefault="00276DF7" w:rsidP="00276DF7">
            <w:pPr>
              <w:shd w:val="clear" w:color="auto" w:fill="F2F2F2" w:themeFill="background1" w:themeFillShade="F2"/>
              <w:spacing w:before="60" w:after="60"/>
              <w:jc w:val="center"/>
              <w:rPr>
                <w:rFonts w:ascii="Titillium" w:hAnsi="Titillium"/>
                <w:bCs/>
                <w:sz w:val="18"/>
                <w:szCs w:val="18"/>
              </w:rPr>
            </w:pPr>
            <w:r>
              <w:rPr>
                <w:rFonts w:ascii="Titillium" w:hAnsi="Titillium"/>
                <w:bCs/>
                <w:sz w:val="18"/>
                <w:szCs w:val="18"/>
              </w:rPr>
              <w:t>2</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132B93D7" w14:textId="77777777" w:rsidR="00276DF7" w:rsidRDefault="00276DF7" w:rsidP="00276DF7">
            <w:pPr>
              <w:shd w:val="clear" w:color="auto" w:fill="F2F2F2" w:themeFill="background1" w:themeFillShade="F2"/>
              <w:spacing w:before="60" w:after="60"/>
              <w:jc w:val="center"/>
            </w:pPr>
            <w:r>
              <w:rPr>
                <w:rFonts w:ascii="Titillium" w:hAnsi="Titillium"/>
                <w:bCs/>
                <w:sz w:val="18"/>
                <w:szCs w:val="18"/>
              </w:rPr>
              <w:t>…</w:t>
            </w:r>
            <w:r>
              <w:rPr>
                <w:rFonts w:ascii="Titillium" w:hAnsi="Titillium"/>
                <w:bCs/>
                <w:i/>
                <w:sz w:val="18"/>
                <w:szCs w:val="18"/>
              </w:rPr>
              <w:t xml:space="preserve"> [indicare criterio]</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09D36731" w14:textId="77777777" w:rsidR="00276DF7" w:rsidRDefault="00276DF7" w:rsidP="00276DF7">
            <w:pPr>
              <w:shd w:val="clear" w:color="auto" w:fill="F2F2F2" w:themeFill="background1" w:themeFillShade="F2"/>
              <w:spacing w:before="60" w:after="60"/>
              <w:jc w:val="center"/>
              <w:rPr>
                <w:rFonts w:ascii="Titillium" w:hAnsi="Titillium"/>
                <w:bCs/>
                <w:sz w:val="18"/>
                <w:szCs w:val="18"/>
              </w:rPr>
            </w:pPr>
            <w:r>
              <w:rPr>
                <w:rFonts w:ascii="Titillium" w:hAnsi="Titillium"/>
                <w:bCs/>
                <w:sz w:val="18"/>
                <w:szCs w:val="18"/>
              </w:rPr>
              <w:t>…</w:t>
            </w:r>
          </w:p>
        </w:tc>
        <w:tc>
          <w:tcPr>
            <w:tcW w:w="482" w:type="dxa"/>
            <w:tcBorders>
              <w:top w:val="single" w:sz="4" w:space="0" w:color="000000"/>
              <w:left w:val="single" w:sz="4" w:space="0" w:color="000000"/>
              <w:bottom w:val="single" w:sz="4" w:space="0" w:color="000000"/>
              <w:right w:val="single" w:sz="4" w:space="0" w:color="000000"/>
            </w:tcBorders>
          </w:tcPr>
          <w:p w14:paraId="0E2A6C3D"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0C8724CC"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2.1</w:t>
            </w:r>
          </w:p>
        </w:tc>
        <w:tc>
          <w:tcPr>
            <w:tcW w:w="2177" w:type="dxa"/>
            <w:tcBorders>
              <w:top w:val="single" w:sz="4" w:space="0" w:color="000000"/>
              <w:left w:val="single" w:sz="4" w:space="0" w:color="000000"/>
              <w:bottom w:val="single" w:sz="4" w:space="0" w:color="000000"/>
              <w:right w:val="single" w:sz="4" w:space="0" w:color="000000"/>
            </w:tcBorders>
            <w:vAlign w:val="center"/>
          </w:tcPr>
          <w:p w14:paraId="379B6846" w14:textId="77777777" w:rsidR="00276DF7" w:rsidRDefault="00276DF7" w:rsidP="00276DF7">
            <w:pPr>
              <w:shd w:val="clear" w:color="auto" w:fill="F2F2F2" w:themeFill="background1" w:themeFillShade="F2"/>
              <w:spacing w:before="60" w:after="60"/>
              <w:jc w:val="center"/>
              <w:rPr>
                <w:rFonts w:ascii="Titillium" w:hAnsi="Titillium"/>
                <w:bCs/>
                <w:i/>
                <w:sz w:val="18"/>
                <w:szCs w:val="18"/>
              </w:rPr>
            </w:pPr>
            <w:r>
              <w:rPr>
                <w:rFonts w:ascii="Titillium" w:hAnsi="Titillium"/>
                <w:bCs/>
                <w:i/>
                <w:sz w:val="18"/>
                <w:szCs w:val="18"/>
              </w:rPr>
              <w:t>…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5FFC07D1"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62C4B437"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2F429346"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w:t>
            </w:r>
          </w:p>
        </w:tc>
      </w:tr>
      <w:tr w:rsidR="00276DF7" w14:paraId="7B02F0F3" w14:textId="77777777" w:rsidTr="00EA5131">
        <w:tc>
          <w:tcPr>
            <w:tcW w:w="451" w:type="dxa"/>
            <w:vMerge/>
            <w:tcBorders>
              <w:top w:val="single" w:sz="4" w:space="0" w:color="000000"/>
              <w:left w:val="single" w:sz="4" w:space="0" w:color="000000"/>
              <w:bottom w:val="single" w:sz="4" w:space="0" w:color="000000"/>
              <w:right w:val="single" w:sz="4" w:space="0" w:color="000000"/>
            </w:tcBorders>
            <w:vAlign w:val="center"/>
          </w:tcPr>
          <w:p w14:paraId="56374688" w14:textId="77777777" w:rsidR="00276DF7" w:rsidRDefault="00276DF7" w:rsidP="00276DF7">
            <w:pPr>
              <w:shd w:val="clear" w:color="auto" w:fill="F2F2F2" w:themeFill="background1" w:themeFillShade="F2"/>
            </w:pPr>
          </w:p>
        </w:tc>
        <w:tc>
          <w:tcPr>
            <w:tcW w:w="1841" w:type="dxa"/>
            <w:vMerge/>
            <w:tcBorders>
              <w:top w:val="single" w:sz="4" w:space="0" w:color="000000"/>
              <w:left w:val="single" w:sz="4" w:space="0" w:color="000000"/>
              <w:bottom w:val="single" w:sz="4" w:space="0" w:color="000000"/>
              <w:right w:val="single" w:sz="4" w:space="0" w:color="000000"/>
            </w:tcBorders>
            <w:vAlign w:val="center"/>
          </w:tcPr>
          <w:p w14:paraId="2199C62B" w14:textId="77777777" w:rsidR="00276DF7" w:rsidRDefault="00276DF7" w:rsidP="00276DF7">
            <w:pPr>
              <w:shd w:val="clear" w:color="auto" w:fill="F2F2F2" w:themeFill="background1" w:themeFillShade="F2"/>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235435A4" w14:textId="77777777" w:rsidR="00276DF7" w:rsidRDefault="00276DF7" w:rsidP="00276DF7">
            <w:pPr>
              <w:shd w:val="clear" w:color="auto" w:fill="F2F2F2" w:themeFill="background1" w:themeFillShade="F2"/>
            </w:pPr>
          </w:p>
        </w:tc>
        <w:tc>
          <w:tcPr>
            <w:tcW w:w="482" w:type="dxa"/>
            <w:tcBorders>
              <w:top w:val="single" w:sz="4" w:space="0" w:color="000000"/>
              <w:left w:val="single" w:sz="4" w:space="0" w:color="000000"/>
              <w:bottom w:val="single" w:sz="4" w:space="0" w:color="000000"/>
              <w:right w:val="single" w:sz="4" w:space="0" w:color="000000"/>
            </w:tcBorders>
          </w:tcPr>
          <w:p w14:paraId="709A9C22" w14:textId="77777777" w:rsidR="00276DF7" w:rsidRDefault="00276DF7" w:rsidP="00276DF7">
            <w:pPr>
              <w:shd w:val="clear" w:color="auto" w:fill="F2F2F2" w:themeFill="background1" w:themeFillShade="F2"/>
              <w:spacing w:before="60" w:after="60"/>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7664B018"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2.2</w:t>
            </w:r>
          </w:p>
        </w:tc>
        <w:tc>
          <w:tcPr>
            <w:tcW w:w="2177" w:type="dxa"/>
            <w:tcBorders>
              <w:top w:val="single" w:sz="4" w:space="0" w:color="000000"/>
              <w:left w:val="single" w:sz="4" w:space="0" w:color="000000"/>
              <w:bottom w:val="single" w:sz="4" w:space="0" w:color="000000"/>
              <w:right w:val="single" w:sz="4" w:space="0" w:color="000000"/>
            </w:tcBorders>
            <w:vAlign w:val="center"/>
          </w:tcPr>
          <w:p w14:paraId="0FC490B8" w14:textId="77777777" w:rsidR="00276DF7" w:rsidRDefault="00276DF7" w:rsidP="00276DF7">
            <w:pPr>
              <w:shd w:val="clear" w:color="auto" w:fill="F2F2F2" w:themeFill="background1" w:themeFillShade="F2"/>
              <w:spacing w:before="60" w:after="60"/>
              <w:jc w:val="center"/>
            </w:pPr>
            <w:r>
              <w:rPr>
                <w:rFonts w:ascii="Titillium" w:hAnsi="Titillium"/>
                <w:bCs/>
                <w:sz w:val="18"/>
                <w:szCs w:val="18"/>
              </w:rPr>
              <w:t>…</w:t>
            </w:r>
            <w:r>
              <w:rPr>
                <w:rFonts w:ascii="Titillium" w:hAnsi="Titillium"/>
                <w:bCs/>
                <w:i/>
                <w:sz w:val="18"/>
                <w:szCs w:val="18"/>
              </w:rPr>
              <w:t xml:space="preserve">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02F08A09"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60EC2EAB"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5FC74730" w14:textId="77777777" w:rsidR="00276DF7" w:rsidRDefault="00276DF7" w:rsidP="00276DF7">
            <w:pPr>
              <w:shd w:val="clear" w:color="auto" w:fill="F2F2F2" w:themeFill="background1" w:themeFillShade="F2"/>
              <w:spacing w:before="60" w:after="60"/>
              <w:jc w:val="center"/>
              <w:rPr>
                <w:rFonts w:ascii="Titillium" w:hAnsi="Titillium"/>
                <w:sz w:val="18"/>
                <w:szCs w:val="18"/>
              </w:rPr>
            </w:pPr>
            <w:r>
              <w:rPr>
                <w:rFonts w:ascii="Titillium" w:hAnsi="Titillium"/>
                <w:sz w:val="18"/>
                <w:szCs w:val="18"/>
              </w:rPr>
              <w:t>…</w:t>
            </w:r>
          </w:p>
        </w:tc>
      </w:tr>
      <w:tr w:rsidR="000B3645" w14:paraId="79E267A5" w14:textId="77777777" w:rsidTr="00EA5131">
        <w:tc>
          <w:tcPr>
            <w:tcW w:w="4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2856D"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576D9" w14:textId="77777777" w:rsidR="00276DF7" w:rsidRDefault="00276DF7" w:rsidP="00276DF7">
            <w:pPr>
              <w:shd w:val="clear" w:color="auto" w:fill="F2F2F2" w:themeFill="background1" w:themeFillShade="F2"/>
              <w:spacing w:before="60" w:after="60"/>
              <w:jc w:val="center"/>
              <w:rPr>
                <w:rFonts w:ascii="Titillium" w:hAnsi="Titillium"/>
                <w:bCs/>
                <w:sz w:val="18"/>
                <w:szCs w:val="18"/>
              </w:rPr>
            </w:pPr>
            <w:r>
              <w:rPr>
                <w:rFonts w:ascii="Titillium" w:hAnsi="Titillium"/>
                <w:bCs/>
                <w:sz w:val="18"/>
                <w:szCs w:val="18"/>
              </w:rPr>
              <w:t>Totale</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4D2AE9" w14:textId="77777777" w:rsidR="00276DF7" w:rsidRDefault="00276DF7" w:rsidP="00276DF7">
            <w:pPr>
              <w:shd w:val="clear" w:color="auto" w:fill="F2F2F2" w:themeFill="background1" w:themeFillShade="F2"/>
              <w:spacing w:before="60" w:after="60"/>
              <w:jc w:val="center"/>
              <w:rPr>
                <w:rFonts w:ascii="Titillium" w:hAnsi="Titillium"/>
                <w:bCs/>
                <w:sz w:val="18"/>
                <w:szCs w:val="18"/>
              </w:rPr>
            </w:pPr>
            <w:r>
              <w:rPr>
                <w:rFonts w:ascii="Titillium" w:hAnsi="Titillium"/>
                <w:bCs/>
                <w:sz w:val="18"/>
                <w:szCs w:val="18"/>
              </w:rPr>
              <w:t>100</w:t>
            </w:r>
          </w:p>
        </w:tc>
        <w:tc>
          <w:tcPr>
            <w:tcW w:w="482" w:type="dxa"/>
            <w:tcBorders>
              <w:top w:val="single" w:sz="4" w:space="0" w:color="000000"/>
              <w:left w:val="single" w:sz="4" w:space="0" w:color="000000"/>
              <w:bottom w:val="single" w:sz="4" w:space="0" w:color="000000"/>
              <w:right w:val="single" w:sz="4" w:space="0" w:color="000000"/>
            </w:tcBorders>
            <w:shd w:val="clear" w:color="auto" w:fill="D9D9D9"/>
          </w:tcPr>
          <w:p w14:paraId="5A7422CE"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p>
        </w:tc>
        <w:tc>
          <w:tcPr>
            <w:tcW w:w="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6823E9"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66AC7" w14:textId="77777777" w:rsidR="00276DF7" w:rsidRDefault="00276DF7" w:rsidP="00276DF7">
            <w:pPr>
              <w:shd w:val="clear" w:color="auto" w:fill="F2F2F2" w:themeFill="background1" w:themeFillShade="F2"/>
              <w:spacing w:before="60" w:after="60"/>
              <w:jc w:val="center"/>
              <w:rPr>
                <w:rFonts w:ascii="Titillium" w:hAnsi="Titillium"/>
                <w:sz w:val="18"/>
                <w:szCs w:val="18"/>
                <w:lang w:eastAsia="it-IT"/>
              </w:rPr>
            </w:pP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AB128F" w14:textId="77777777" w:rsidR="00276DF7" w:rsidRDefault="00276DF7" w:rsidP="00276DF7">
            <w:pPr>
              <w:shd w:val="clear" w:color="auto" w:fill="F2F2F2" w:themeFill="background1" w:themeFillShade="F2"/>
              <w:spacing w:before="60" w:after="60"/>
              <w:rPr>
                <w:rFonts w:ascii="Titillium" w:hAnsi="Titillium"/>
                <w:sz w:val="18"/>
                <w:szCs w:val="18"/>
                <w:lang w:eastAsia="it-IT"/>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3CF9E" w14:textId="77777777" w:rsidR="00276DF7" w:rsidRDefault="00276DF7" w:rsidP="00276DF7">
            <w:pPr>
              <w:shd w:val="clear" w:color="auto" w:fill="F2F2F2" w:themeFill="background1" w:themeFillShade="F2"/>
              <w:spacing w:before="60" w:after="60"/>
              <w:rPr>
                <w:rFonts w:ascii="Titillium" w:hAnsi="Titillium"/>
                <w:sz w:val="18"/>
                <w:szCs w:val="18"/>
                <w:lang w:eastAsia="it-IT"/>
              </w:rPr>
            </w:pP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0A7CF" w14:textId="77777777" w:rsidR="00276DF7" w:rsidRDefault="00276DF7" w:rsidP="00276DF7">
            <w:pPr>
              <w:shd w:val="clear" w:color="auto" w:fill="F2F2F2" w:themeFill="background1" w:themeFillShade="F2"/>
              <w:spacing w:before="60" w:after="60"/>
              <w:rPr>
                <w:rFonts w:ascii="Titillium" w:hAnsi="Titillium"/>
                <w:sz w:val="18"/>
                <w:szCs w:val="18"/>
                <w:lang w:eastAsia="it-IT"/>
              </w:rPr>
            </w:pPr>
          </w:p>
        </w:tc>
      </w:tr>
    </w:tbl>
    <w:p w14:paraId="7DAF0EA9" w14:textId="77777777" w:rsidR="00276DF7" w:rsidRDefault="00276DF7" w:rsidP="00276DF7">
      <w:pPr>
        <w:shd w:val="clear" w:color="auto" w:fill="F2F2F2" w:themeFill="background1" w:themeFillShade="F2"/>
        <w:spacing w:before="120" w:after="60"/>
        <w:rPr>
          <w:rFonts w:ascii="Titillium" w:hAnsi="Titillium"/>
          <w:sz w:val="18"/>
          <w:szCs w:val="18"/>
          <w:lang w:eastAsia="it-IT"/>
        </w:rPr>
      </w:pPr>
    </w:p>
    <w:p w14:paraId="3FD274FC"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iCs/>
          <w:sz w:val="18"/>
          <w:szCs w:val="18"/>
          <w:lang w:eastAsia="it-IT"/>
        </w:rPr>
      </w:pPr>
      <w:r w:rsidRPr="00F16718">
        <w:rPr>
          <w:rFonts w:ascii="Titillium" w:hAnsi="Titillium" w:cs="Arial"/>
          <w:i/>
          <w:sz w:val="18"/>
          <w:szCs w:val="18"/>
        </w:rPr>
        <w:t xml:space="preserve">N.B: </w:t>
      </w:r>
      <w:r>
        <w:rPr>
          <w:rFonts w:ascii="Titillium" w:hAnsi="Titillium" w:cs="Calibri"/>
          <w:i/>
          <w:iCs/>
          <w:sz w:val="18"/>
          <w:szCs w:val="18"/>
          <w:lang w:eastAsia="it-IT"/>
        </w:rPr>
        <w:t>nell’individuare gli elementi di valutazione dell’offerta tecnica la stazione appaltante:</w:t>
      </w:r>
    </w:p>
    <w:p w14:paraId="07DED0AD" w14:textId="77777777" w:rsidR="00276DF7" w:rsidRPr="00763512"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iCs/>
          <w:sz w:val="18"/>
          <w:szCs w:val="18"/>
          <w:lang w:eastAsia="it-IT"/>
        </w:rPr>
      </w:pPr>
      <w:r>
        <w:rPr>
          <w:rFonts w:ascii="Titillium" w:hAnsi="Titillium" w:cs="Calibri"/>
          <w:i/>
          <w:iCs/>
          <w:sz w:val="18"/>
          <w:szCs w:val="18"/>
          <w:lang w:eastAsia="it-IT"/>
        </w:rPr>
        <w:t xml:space="preserve"> - in caso</w:t>
      </w:r>
      <w:r w:rsidRPr="00763512">
        <w:rPr>
          <w:rFonts w:ascii="Titillium" w:hAnsi="Titillium" w:cs="Calibri"/>
          <w:i/>
          <w:iCs/>
          <w:sz w:val="18"/>
          <w:szCs w:val="18"/>
          <w:lang w:eastAsia="it-IT"/>
        </w:rPr>
        <w:t xml:space="preserve"> di servizi e forniture per i quali è vigente un decreto sui CAM, </w:t>
      </w:r>
      <w:r>
        <w:rPr>
          <w:rFonts w:ascii="Titillium" w:hAnsi="Titillium" w:cs="Calibri"/>
          <w:i/>
          <w:iCs/>
          <w:sz w:val="18"/>
          <w:szCs w:val="18"/>
          <w:lang w:eastAsia="it-IT"/>
        </w:rPr>
        <w:t>tiene</w:t>
      </w:r>
      <w:r w:rsidRPr="00763512">
        <w:rPr>
          <w:rFonts w:ascii="Titillium" w:hAnsi="Titillium" w:cs="Calibri"/>
          <w:i/>
          <w:iCs/>
          <w:sz w:val="18"/>
          <w:szCs w:val="18"/>
          <w:lang w:eastAsia="it-IT"/>
        </w:rPr>
        <w:t xml:space="preserve"> conto dei criteri premianti </w:t>
      </w:r>
      <w:r>
        <w:rPr>
          <w:rFonts w:ascii="Titillium" w:hAnsi="Titillium" w:cs="Calibri"/>
          <w:i/>
          <w:iCs/>
          <w:sz w:val="18"/>
          <w:szCs w:val="18"/>
          <w:lang w:eastAsia="it-IT"/>
        </w:rPr>
        <w:t xml:space="preserve">ivi </w:t>
      </w:r>
      <w:r w:rsidRPr="00763512">
        <w:rPr>
          <w:rFonts w:ascii="Titillium" w:hAnsi="Titillium" w:cs="Calibri"/>
          <w:i/>
          <w:iCs/>
          <w:sz w:val="18"/>
          <w:szCs w:val="18"/>
          <w:lang w:eastAsia="it-IT"/>
        </w:rPr>
        <w:t>indicati</w:t>
      </w:r>
      <w:r>
        <w:rPr>
          <w:rFonts w:ascii="Titillium" w:hAnsi="Titillium" w:cs="Calibri"/>
          <w:i/>
          <w:iCs/>
          <w:sz w:val="18"/>
          <w:szCs w:val="18"/>
          <w:lang w:eastAsia="it-IT"/>
        </w:rPr>
        <w:t>;</w:t>
      </w:r>
    </w:p>
    <w:p w14:paraId="09F82A42"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iCs/>
          <w:sz w:val="18"/>
          <w:szCs w:val="18"/>
          <w:lang w:eastAsia="it-IT"/>
        </w:rPr>
      </w:pPr>
      <w:r>
        <w:rPr>
          <w:rFonts w:ascii="Titillium" w:hAnsi="Titillium" w:cs="Calibri"/>
          <w:i/>
          <w:iCs/>
          <w:sz w:val="18"/>
          <w:szCs w:val="18"/>
          <w:lang w:eastAsia="it-IT"/>
        </w:rPr>
        <w:t xml:space="preserve"> - </w:t>
      </w:r>
      <w:r w:rsidRPr="00763512">
        <w:rPr>
          <w:rFonts w:ascii="Titillium" w:hAnsi="Titillium" w:cs="Calibri"/>
          <w:i/>
          <w:iCs/>
          <w:sz w:val="18"/>
          <w:szCs w:val="18"/>
          <w:lang w:eastAsia="it-IT"/>
        </w:rPr>
        <w:t>può valorizzare</w:t>
      </w:r>
      <w:r>
        <w:rPr>
          <w:rFonts w:ascii="Titillium" w:hAnsi="Titillium" w:cs="Calibri"/>
          <w:i/>
          <w:iCs/>
          <w:sz w:val="18"/>
          <w:szCs w:val="18"/>
          <w:lang w:eastAsia="it-IT"/>
        </w:rPr>
        <w:t xml:space="preserve"> </w:t>
      </w:r>
      <w:r w:rsidRPr="00763512">
        <w:rPr>
          <w:rFonts w:ascii="Titillium" w:hAnsi="Titillium" w:cs="Calibri"/>
          <w:i/>
          <w:iCs/>
          <w:sz w:val="18"/>
          <w:szCs w:val="18"/>
          <w:lang w:eastAsia="it-IT"/>
        </w:rPr>
        <w:t>il possesso di un'etichettatura specifica nel rispetto delle condizioni indicate all’allegato II.5</w:t>
      </w:r>
      <w:r>
        <w:rPr>
          <w:rFonts w:ascii="Titillium" w:hAnsi="Titillium" w:cs="Calibri"/>
          <w:i/>
          <w:iCs/>
          <w:sz w:val="18"/>
          <w:szCs w:val="18"/>
          <w:lang w:eastAsia="it-IT"/>
        </w:rPr>
        <w:t xml:space="preserve"> qualora </w:t>
      </w:r>
      <w:r w:rsidRPr="00763512">
        <w:rPr>
          <w:rFonts w:ascii="Titillium" w:hAnsi="Titillium" w:cs="Calibri"/>
          <w:i/>
          <w:iCs/>
          <w:sz w:val="18"/>
          <w:szCs w:val="18"/>
          <w:lang w:eastAsia="it-IT"/>
        </w:rPr>
        <w:t>intenda acquistare forniture o servizi con specifiche caratteristiche ambientali, sociali o di altro tipo</w:t>
      </w:r>
      <w:r>
        <w:rPr>
          <w:rFonts w:ascii="Titillium" w:hAnsi="Titillium" w:cs="Calibri"/>
          <w:i/>
          <w:iCs/>
          <w:sz w:val="18"/>
          <w:szCs w:val="18"/>
          <w:lang w:eastAsia="it-IT"/>
        </w:rPr>
        <w:t>;</w:t>
      </w:r>
    </w:p>
    <w:p w14:paraId="1079DC4E"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sz w:val="18"/>
          <w:szCs w:val="18"/>
        </w:rPr>
      </w:pPr>
      <w:r>
        <w:rPr>
          <w:rFonts w:ascii="Titillium" w:hAnsi="Titillium" w:cs="Calibri"/>
          <w:i/>
          <w:iCs/>
          <w:sz w:val="18"/>
          <w:szCs w:val="18"/>
          <w:lang w:eastAsia="it-IT"/>
        </w:rPr>
        <w:t xml:space="preserve"> - individua il maggior punteggio da attribuire alle imprese che attestano il possesso della certificazione della parità di genere di cui all’articolo 46-bis del decreto legislativo n. 196/2006 (Codice delle pari opportunità). Si richiamano le indicazioni fornite dall’ANAC con il Comunicato del Presidente del 30/11/2022 </w:t>
      </w:r>
    </w:p>
    <w:p w14:paraId="2E0543E6" w14:textId="77777777" w:rsidR="00276DF7" w:rsidRPr="00763512"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iCs/>
          <w:sz w:val="18"/>
          <w:szCs w:val="18"/>
          <w:lang w:eastAsia="it-IT"/>
        </w:rPr>
      </w:pPr>
      <w:r>
        <w:rPr>
          <w:rFonts w:ascii="Titillium" w:hAnsi="Titillium" w:cs="Calibri"/>
          <w:i/>
          <w:sz w:val="18"/>
          <w:szCs w:val="18"/>
        </w:rPr>
        <w:t>Pe</w:t>
      </w:r>
      <w:r>
        <w:rPr>
          <w:rFonts w:ascii="Titillium" w:hAnsi="Titillium" w:cs="Arial"/>
          <w:bCs/>
          <w:i/>
          <w:sz w:val="18"/>
          <w:szCs w:val="18"/>
        </w:rPr>
        <w:t>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Pr>
          <w:rFonts w:ascii="Titillium" w:hAnsi="Titillium" w:cs="Arial"/>
          <w:bCs/>
          <w:i/>
          <w:sz w:val="18"/>
          <w:szCs w:val="18"/>
        </w:rPr>
        <w:lastRenderedPageBreak/>
        <w:t xml:space="preserve">legge 6 maggio 2021, n. 59 (PNC), avviate dopo l’entrata in vigore del </w:t>
      </w:r>
      <w:r>
        <w:rPr>
          <w:rFonts w:ascii="Titillium" w:hAnsi="Titillium" w:cs="Courier New"/>
          <w:i/>
          <w:sz w:val="18"/>
          <w:szCs w:val="18"/>
        </w:rPr>
        <w:t>decreto legge 31 maggio 2021, n. 77, convertito, con modificazioni, dalla legge 29 luglio 2021, n. 108</w:t>
      </w:r>
      <w:r>
        <w:rPr>
          <w:rFonts w:ascii="Titillium" w:hAnsi="Titillium" w:cs="Arial"/>
          <w:i/>
          <w:sz w:val="18"/>
          <w:szCs w:val="18"/>
        </w:rPr>
        <w:t>, le</w:t>
      </w:r>
      <w:r>
        <w:rPr>
          <w:rFonts w:ascii="Titillium" w:hAnsi="Titillium" w:cs="Calibri"/>
          <w:i/>
          <w:sz w:val="18"/>
          <w:szCs w:val="18"/>
        </w:rPr>
        <w:t xml:space="preserve"> stazioni appaltanti</w:t>
      </w:r>
      <w:r>
        <w:rPr>
          <w:rFonts w:ascii="Titillium" w:hAnsi="Titillium" w:cs="Courier New"/>
          <w:i/>
          <w:sz w:val="18"/>
          <w:szCs w:val="18"/>
        </w:rPr>
        <w:t xml:space="preserve">, </w:t>
      </w:r>
      <w:r>
        <w:rPr>
          <w:rFonts w:ascii="Titillium" w:hAnsi="Titillium" w:cs="Calibri"/>
          <w:i/>
          <w:sz w:val="18"/>
          <w:szCs w:val="18"/>
        </w:rPr>
        <w:t xml:space="preserve">inseriscono nei bandi di gara, negli avvisi e negli inviti, le clausole che introducono come ulteriori requisiti premiali dell’offerta (di cui </w:t>
      </w:r>
      <w:r>
        <w:rPr>
          <w:rFonts w:ascii="Titillium" w:hAnsi="Titillium" w:cs="Arial"/>
          <w:bCs/>
          <w:i/>
          <w:sz w:val="18"/>
          <w:szCs w:val="18"/>
        </w:rPr>
        <w:t xml:space="preserve">all’articolo 47, commi 4 e 5, decreto legge 77/2021) </w:t>
      </w:r>
      <w:r>
        <w:rPr>
          <w:rFonts w:ascii="Titillium" w:hAnsi="Titillium" w:cs="Calibri"/>
          <w:i/>
          <w:sz w:val="18"/>
          <w:szCs w:val="18"/>
        </w:rPr>
        <w:t>criteri orientati a promuovere l'imprenditoria giovanile, l’inclusione lavorativa delle persone disabili, la parità di genere e l'assunzione</w:t>
      </w:r>
      <w:r>
        <w:rPr>
          <w:rFonts w:ascii="Titillium" w:hAnsi="Titillium" w:cs="Arial"/>
          <w:i/>
          <w:sz w:val="18"/>
          <w:szCs w:val="18"/>
        </w:rPr>
        <w:t xml:space="preserve"> di giovani, con età inferiore a trentasei anni, e di donne. A tal fine, le stazioni appaltanti prevedono l’attribuzione di punteggi aggiuntivi in favore del concorrente che si trovi in una o più delle situazioni di cui alle linee guida adottate dal Dipartimento per le pari opportunità ai sensi dell’articolo 47, comma 5, decreto legge 77/21, per i contratti PNRR e dell’allegato II.3 per le procedure riservate ex articolo 61 del codice.  </w:t>
      </w:r>
    </w:p>
    <w:p w14:paraId="1B0AA4CD" w14:textId="77777777" w:rsidR="00276DF7" w:rsidRDefault="00276DF7" w:rsidP="00276DF7">
      <w:pPr>
        <w:shd w:val="clear" w:color="auto" w:fill="F2F2F2" w:themeFill="background1" w:themeFillShade="F2"/>
        <w:spacing w:before="120" w:after="60"/>
        <w:rPr>
          <w:rFonts w:ascii="Titillium" w:hAnsi="Titillium"/>
          <w:sz w:val="18"/>
          <w:szCs w:val="18"/>
          <w:lang w:eastAsia="it-IT"/>
        </w:rPr>
      </w:pPr>
    </w:p>
    <w:p w14:paraId="02610293" w14:textId="77777777" w:rsidR="00276DF7" w:rsidRDefault="00276DF7" w:rsidP="00276DF7">
      <w:pPr>
        <w:shd w:val="clear" w:color="auto" w:fill="F2F2F2" w:themeFill="background1" w:themeFillShade="F2"/>
        <w:spacing w:before="120" w:after="60"/>
        <w:rPr>
          <w:rFonts w:ascii="Titillium" w:hAnsi="Titillium"/>
          <w:i/>
          <w:sz w:val="18"/>
          <w:szCs w:val="18"/>
        </w:rPr>
      </w:pPr>
      <w:r>
        <w:rPr>
          <w:rFonts w:ascii="Titillium" w:hAnsi="Titillium"/>
          <w:b/>
          <w:i/>
          <w:sz w:val="18"/>
          <w:szCs w:val="18"/>
        </w:rPr>
        <w:t xml:space="preserve">[Facoltativo: soglia di sbarramento al punteggio tecnico] </w:t>
      </w:r>
      <w:r>
        <w:rPr>
          <w:rFonts w:ascii="Titillium" w:hAnsi="Titillium" w:cs="Calibri"/>
          <w:sz w:val="18"/>
          <w:szCs w:val="18"/>
          <w:lang w:eastAsia="it-IT"/>
        </w:rPr>
        <w:t xml:space="preserve">Il </w:t>
      </w:r>
      <w:r w:rsidRPr="009519DD">
        <w:rPr>
          <w:rFonts w:ascii="Titillium" w:hAnsi="Titillium" w:cs="Calibri"/>
          <w:sz w:val="18"/>
          <w:szCs w:val="18"/>
          <w:lang w:eastAsia="it-IT"/>
        </w:rPr>
        <w:t>concorrente è escluso dalla</w:t>
      </w:r>
      <w:r>
        <w:rPr>
          <w:rFonts w:ascii="Titillium" w:hAnsi="Titillium" w:cs="Calibri"/>
          <w:sz w:val="18"/>
          <w:szCs w:val="18"/>
          <w:lang w:eastAsia="it-IT"/>
        </w:rPr>
        <w:t xml:space="preserve"> gara nel caso in cui consegua un punteggio inferiore alla </w:t>
      </w:r>
      <w:r>
        <w:rPr>
          <w:rFonts w:ascii="Titillium" w:hAnsi="Titillium"/>
          <w:sz w:val="18"/>
          <w:szCs w:val="18"/>
        </w:rPr>
        <w:t>soglia minima di sbarramento pari a ...</w:t>
      </w:r>
      <w:r>
        <w:rPr>
          <w:rFonts w:ascii="Titillium" w:hAnsi="Titillium"/>
          <w:i/>
          <w:sz w:val="18"/>
          <w:szCs w:val="18"/>
        </w:rPr>
        <w:t xml:space="preserve"> [indicare la/le soglie di punteggio]</w:t>
      </w:r>
      <w:r>
        <w:rPr>
          <w:rFonts w:ascii="Titillium" w:hAnsi="Titillium"/>
          <w:sz w:val="18"/>
          <w:szCs w:val="18"/>
        </w:rPr>
        <w:t xml:space="preserve"> per … </w:t>
      </w:r>
      <w:r>
        <w:rPr>
          <w:rFonts w:ascii="Titillium" w:hAnsi="Titillium"/>
          <w:i/>
          <w:sz w:val="18"/>
          <w:szCs w:val="18"/>
        </w:rPr>
        <w:t>[indicare “il punteggio tecnico complessivo” oppure indicare “i seguenti criteri: …”, specificando i criteri su cui applicare lo sbarramento].</w:t>
      </w:r>
    </w:p>
    <w:p w14:paraId="5EAC7A6C" w14:textId="77777777" w:rsidR="00276DF7" w:rsidRDefault="00276DF7" w:rsidP="00276DF7">
      <w:pPr>
        <w:shd w:val="clear" w:color="auto" w:fill="F2F2F2" w:themeFill="background1" w:themeFillShade="F2"/>
        <w:spacing w:before="120" w:after="60"/>
        <w:rPr>
          <w:rFonts w:ascii="Titillium" w:hAnsi="Titillium" w:cs="Calibri"/>
          <w:sz w:val="18"/>
          <w:szCs w:val="18"/>
          <w:lang w:eastAsia="it-IT"/>
        </w:rPr>
      </w:pPr>
      <w:r>
        <w:rPr>
          <w:rFonts w:ascii="Titillium" w:hAnsi="Titillium" w:cs="Calibri"/>
          <w:i/>
          <w:sz w:val="18"/>
          <w:szCs w:val="18"/>
          <w:lang w:eastAsia="it-IT"/>
        </w:rPr>
        <w:t>[</w:t>
      </w:r>
      <w:r w:rsidRPr="0056756A">
        <w:rPr>
          <w:rFonts w:ascii="Titillium" w:hAnsi="Titillium" w:cs="Calibri"/>
          <w:i/>
          <w:sz w:val="18"/>
          <w:szCs w:val="18"/>
          <w:lang w:eastAsia="it-IT"/>
        </w:rPr>
        <w:t>Nel caso in cui sia prevista una riparametrazione dei punteggi tecnici]</w:t>
      </w:r>
      <w:r>
        <w:rPr>
          <w:rFonts w:ascii="Titillium" w:hAnsi="Titillium" w:cs="Calibri"/>
          <w:i/>
          <w:sz w:val="18"/>
          <w:szCs w:val="18"/>
          <w:lang w:eastAsia="it-IT"/>
        </w:rPr>
        <w:t xml:space="preserve"> </w:t>
      </w:r>
      <w:r>
        <w:rPr>
          <w:rFonts w:ascii="Titillium" w:hAnsi="Titillium" w:cs="Calibri"/>
          <w:sz w:val="18"/>
          <w:szCs w:val="18"/>
          <w:lang w:eastAsia="it-IT"/>
        </w:rPr>
        <w:t xml:space="preserve">Il superamento della soglia di sbarramento è calcolato prima della riparametrazione di cui </w:t>
      </w:r>
      <w:r w:rsidRPr="005D6FBF">
        <w:rPr>
          <w:rFonts w:ascii="Titillium" w:hAnsi="Titillium" w:cs="Calibri"/>
          <w:sz w:val="18"/>
          <w:szCs w:val="18"/>
          <w:lang w:eastAsia="it-IT"/>
        </w:rPr>
        <w:t xml:space="preserve">al punto </w:t>
      </w:r>
      <w:r w:rsidRPr="005D6FBF">
        <w:rPr>
          <w:rFonts w:ascii="Titillium" w:hAnsi="Titillium" w:cs="Calibri"/>
          <w:sz w:val="18"/>
          <w:szCs w:val="18"/>
          <w:lang w:eastAsia="it-IT"/>
        </w:rPr>
        <w:fldChar w:fldCharType="begin"/>
      </w:r>
      <w:r w:rsidRPr="005D6FBF">
        <w:rPr>
          <w:rFonts w:ascii="Titillium" w:hAnsi="Titillium" w:cs="Calibri"/>
          <w:sz w:val="18"/>
          <w:szCs w:val="18"/>
          <w:lang w:eastAsia="it-IT"/>
        </w:rPr>
        <w:instrText xml:space="preserve"> REF _Ref497226795 \r \h </w:instrText>
      </w:r>
      <w:r>
        <w:rPr>
          <w:rFonts w:ascii="Titillium" w:hAnsi="Titillium" w:cs="Calibri"/>
          <w:sz w:val="18"/>
          <w:szCs w:val="18"/>
          <w:lang w:eastAsia="it-IT"/>
        </w:rPr>
        <w:instrText xml:space="preserve"> \* MERGEFORMAT </w:instrText>
      </w:r>
      <w:r w:rsidRPr="005D6FBF">
        <w:rPr>
          <w:rFonts w:ascii="Titillium" w:hAnsi="Titillium" w:cs="Calibri"/>
          <w:sz w:val="18"/>
          <w:szCs w:val="18"/>
          <w:lang w:eastAsia="it-IT"/>
        </w:rPr>
      </w:r>
      <w:r w:rsidRPr="005D6FBF">
        <w:rPr>
          <w:rFonts w:ascii="Titillium" w:hAnsi="Titillium" w:cs="Calibri"/>
          <w:sz w:val="18"/>
          <w:szCs w:val="18"/>
          <w:lang w:eastAsia="it-IT"/>
        </w:rPr>
        <w:fldChar w:fldCharType="separate"/>
      </w:r>
      <w:r>
        <w:rPr>
          <w:rFonts w:ascii="Titillium" w:hAnsi="Titillium" w:cs="Calibri"/>
          <w:sz w:val="18"/>
          <w:szCs w:val="18"/>
          <w:lang w:eastAsia="it-IT"/>
        </w:rPr>
        <w:t>18.4</w:t>
      </w:r>
      <w:r w:rsidRPr="005D6FBF">
        <w:rPr>
          <w:rFonts w:ascii="Titillium" w:hAnsi="Titillium" w:cs="Calibri"/>
          <w:sz w:val="18"/>
          <w:szCs w:val="18"/>
          <w:lang w:eastAsia="it-IT"/>
        </w:rPr>
        <w:fldChar w:fldCharType="end"/>
      </w:r>
      <w:r w:rsidRPr="005D6FBF">
        <w:rPr>
          <w:rFonts w:ascii="Titillium" w:hAnsi="Titillium" w:cs="Calibri"/>
          <w:sz w:val="18"/>
          <w:szCs w:val="18"/>
          <w:lang w:eastAsia="it-IT"/>
        </w:rPr>
        <w:t>.</w:t>
      </w:r>
    </w:p>
    <w:p w14:paraId="19E163D8" w14:textId="77777777" w:rsidR="00276DF7" w:rsidRDefault="00276DF7" w:rsidP="00276DF7">
      <w:pPr>
        <w:pStyle w:val="Titolo3"/>
        <w:numPr>
          <w:ilvl w:val="1"/>
          <w:numId w:val="4"/>
        </w:numPr>
        <w:shd w:val="clear" w:color="auto" w:fill="F2F2F2" w:themeFill="background1" w:themeFillShade="F2"/>
        <w:ind w:left="426" w:hanging="426"/>
      </w:pPr>
      <w:bookmarkStart w:id="1972" w:name="_Toc139549446"/>
      <w:r>
        <w:rPr>
          <w:rFonts w:ascii="Titillium" w:hAnsi="Titillium"/>
          <w:iCs/>
          <w:caps w:val="0"/>
          <w:sz w:val="18"/>
          <w:szCs w:val="18"/>
          <w:lang w:val="it-IT"/>
        </w:rPr>
        <w:t>M</w:t>
      </w:r>
      <w:r>
        <w:rPr>
          <w:rFonts w:ascii="Titillium" w:hAnsi="Titillium"/>
          <w:iCs/>
          <w:caps w:val="0"/>
          <w:sz w:val="18"/>
          <w:szCs w:val="18"/>
        </w:rPr>
        <w:t>ETODO DI ATTRIBUZIONE DEL COEFFICIENTE PER IL CALCOLO DEL PUNTEGGIO DELL’OFFERTA TECNICA</w:t>
      </w:r>
      <w:bookmarkEnd w:id="1972"/>
    </w:p>
    <w:p w14:paraId="76C02171" w14:textId="77777777" w:rsidR="00276DF7" w:rsidRDefault="00276DF7" w:rsidP="00276DF7">
      <w:pPr>
        <w:shd w:val="clear" w:color="auto" w:fill="F2F2F2" w:themeFill="background1" w:themeFillShade="F2"/>
        <w:spacing w:before="60" w:after="60"/>
        <w:rPr>
          <w:rFonts w:ascii="Titillium" w:hAnsi="Titillium"/>
          <w:i/>
          <w:sz w:val="18"/>
          <w:szCs w:val="18"/>
        </w:rPr>
      </w:pPr>
      <w:r>
        <w:rPr>
          <w:rFonts w:ascii="Titillium" w:hAnsi="Titillium"/>
          <w:b/>
          <w:i/>
          <w:sz w:val="18"/>
          <w:szCs w:val="18"/>
        </w:rPr>
        <w:t>[In caso di criteri qualitativi]</w:t>
      </w:r>
      <w:r>
        <w:rPr>
          <w:rFonts w:ascii="Titillium" w:hAnsi="Titillium"/>
          <w:sz w:val="18"/>
          <w:szCs w:val="18"/>
        </w:rPr>
        <w:t xml:space="preserve"> A ciascuno degli elementi qualitativi cui è assegnato un punteggio discrezionale nella colonna “D” della tabella, è attribuito un coefficiente sulla base del metodo … </w:t>
      </w:r>
      <w:r w:rsidRPr="00A87259">
        <w:rPr>
          <w:rFonts w:ascii="Titillium" w:hAnsi="Titillium"/>
          <w:i/>
          <w:sz w:val="18"/>
          <w:szCs w:val="18"/>
        </w:rPr>
        <w:t>[</w:t>
      </w:r>
      <w:r>
        <w:rPr>
          <w:rFonts w:ascii="Titillium" w:hAnsi="Titillium"/>
          <w:i/>
          <w:sz w:val="18"/>
          <w:szCs w:val="18"/>
        </w:rPr>
        <w:t>indicare il metodo ad esempio: attribuzione discrezionale di un coefficiente variabile da zero ad uno da parte di ciascun commissario oppure confronto a coppie, etc.].</w:t>
      </w:r>
    </w:p>
    <w:p w14:paraId="43CFF34C" w14:textId="77777777" w:rsidR="00276DF7" w:rsidRDefault="00276DF7" w:rsidP="00276DF7">
      <w:pPr>
        <w:shd w:val="clear" w:color="auto" w:fill="F2F2F2" w:themeFill="background1" w:themeFillShade="F2"/>
        <w:spacing w:before="60" w:after="60"/>
        <w:rPr>
          <w:rFonts w:ascii="Titillium" w:hAnsi="Titillium"/>
          <w:i/>
          <w:sz w:val="18"/>
          <w:szCs w:val="18"/>
        </w:rPr>
      </w:pPr>
    </w:p>
    <w:p w14:paraId="1BB57F35"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i/>
          <w:sz w:val="18"/>
          <w:szCs w:val="18"/>
        </w:rPr>
      </w:pPr>
      <w:r>
        <w:rPr>
          <w:rFonts w:ascii="Titillium" w:hAnsi="Titillium"/>
          <w:i/>
          <w:sz w:val="18"/>
          <w:szCs w:val="18"/>
        </w:rPr>
        <w:t>N.B. Ove la stazione appaltante ricorra al metodo di attribuzione discrezionale del coefficiente variabile da zero ad uno, deve specificare nel bando il valore del coefficiente relativo ai diversi livelli di valutazione ( per esempio: Ottimo = 1; buono = 0,8; adeguato = 0,6 etc.) precisando, inoltre, il metodo di calcolo del coefficiente unico da attribuire all’offerta in relazione al sub-criterio esaminato (per esempio: “la commissione calcola la media aritmetica dei coefficienti attribuiti dai singoli commissari all’offerta in relazione al sub-criterio in esame, al fine di ottenere il coefficiente medio da applicare al medesimo”).</w:t>
      </w:r>
    </w:p>
    <w:p w14:paraId="1CDDCA81" w14:textId="77777777" w:rsidR="00276DF7" w:rsidRDefault="00276DF7" w:rsidP="00276DF7">
      <w:pPr>
        <w:shd w:val="clear" w:color="auto" w:fill="F2F2F2" w:themeFill="background1" w:themeFillShade="F2"/>
        <w:spacing w:before="60" w:after="60"/>
        <w:rPr>
          <w:rFonts w:ascii="Titillium" w:hAnsi="Titillium"/>
          <w:i/>
          <w:sz w:val="18"/>
          <w:szCs w:val="18"/>
        </w:rPr>
      </w:pPr>
    </w:p>
    <w:p w14:paraId="03AE7DD3" w14:textId="77777777" w:rsidR="00276DF7" w:rsidRDefault="00276DF7" w:rsidP="00276DF7">
      <w:pPr>
        <w:shd w:val="clear" w:color="auto" w:fill="F2F2F2" w:themeFill="background1" w:themeFillShade="F2"/>
        <w:spacing w:before="60" w:after="60"/>
      </w:pPr>
      <w:r>
        <w:rPr>
          <w:rFonts w:ascii="Titillium" w:hAnsi="Titillium"/>
          <w:b/>
          <w:i/>
          <w:sz w:val="18"/>
          <w:szCs w:val="18"/>
        </w:rPr>
        <w:t>[In caso di criteri quantitativi]</w:t>
      </w:r>
      <w:r>
        <w:rPr>
          <w:rFonts w:ascii="Titillium" w:hAnsi="Titillium"/>
          <w:sz w:val="18"/>
          <w:szCs w:val="18"/>
        </w:rPr>
        <w:t xml:space="preserve"> A ciascuno degli elementi quantitativi cui è assegnato un punteggio nella colonna “Q” della tabella, è attribuito un coefficiente, variabile tra zero e uno, sulla base del metodo …. </w:t>
      </w:r>
      <w:r w:rsidRPr="00A87259">
        <w:rPr>
          <w:rFonts w:ascii="Titillium" w:hAnsi="Titillium"/>
          <w:i/>
          <w:sz w:val="18"/>
          <w:szCs w:val="18"/>
        </w:rPr>
        <w:t>[</w:t>
      </w:r>
      <w:r>
        <w:rPr>
          <w:rFonts w:ascii="Titillium" w:hAnsi="Titillium"/>
          <w:i/>
          <w:sz w:val="18"/>
          <w:szCs w:val="18"/>
        </w:rPr>
        <w:t>indicare il metodo prescelto –- ad esempio: interpolazione lineare, metodo bilineare, formule non lineari, formule indipendenti, etc.].</w:t>
      </w:r>
    </w:p>
    <w:p w14:paraId="581DBBA7" w14:textId="77777777" w:rsidR="00276DF7" w:rsidRDefault="00276DF7" w:rsidP="00276DF7">
      <w:pPr>
        <w:shd w:val="clear" w:color="auto" w:fill="F2F2F2" w:themeFill="background1" w:themeFillShade="F2"/>
        <w:spacing w:before="60" w:after="60"/>
      </w:pPr>
      <w:r>
        <w:rPr>
          <w:rFonts w:ascii="Titillium" w:hAnsi="Titillium"/>
          <w:b/>
          <w:i/>
          <w:sz w:val="18"/>
          <w:szCs w:val="18"/>
        </w:rPr>
        <w:t xml:space="preserve">[In caso di criteri tabellari] </w:t>
      </w:r>
      <w:r>
        <w:rPr>
          <w:rFonts w:ascii="Titillium" w:hAnsi="Titillium"/>
          <w:sz w:val="18"/>
          <w:szCs w:val="18"/>
        </w:rPr>
        <w:t xml:space="preserve">Quanto agli elementi cui è assegnato un punteggio tabellare identificato dalla colonna “T” della tabella, il relativo punteggio è assegnato, automaticamente e in valore assoluto, sulla base della presenza o assenza nell’offerta, dell’elemento richiesto. </w:t>
      </w:r>
    </w:p>
    <w:p w14:paraId="07B4D1C2" w14:textId="77777777" w:rsidR="00276DF7" w:rsidRDefault="00276DF7" w:rsidP="00276DF7">
      <w:pPr>
        <w:pStyle w:val="Titolo3"/>
        <w:numPr>
          <w:ilvl w:val="1"/>
          <w:numId w:val="4"/>
        </w:numPr>
        <w:shd w:val="clear" w:color="auto" w:fill="F2F2F2" w:themeFill="background1" w:themeFillShade="F2"/>
        <w:ind w:left="426" w:hanging="426"/>
      </w:pPr>
      <w:bookmarkStart w:id="1973" w:name="_Ref498421792"/>
      <w:bookmarkStart w:id="1974" w:name="_Toc139549447"/>
      <w:r>
        <w:rPr>
          <w:rFonts w:ascii="Titillium" w:hAnsi="Titillium"/>
          <w:iCs/>
          <w:caps w:val="0"/>
          <w:sz w:val="18"/>
          <w:szCs w:val="18"/>
        </w:rPr>
        <w:t>METODO DI ATTRIBUZIONE DEL COEFFICIENTE PER IL CALCOLO DEL PUNTEGGIO DELL’OFFERTA ECONOMICA</w:t>
      </w:r>
      <w:bookmarkEnd w:id="1973"/>
      <w:bookmarkEnd w:id="1974"/>
      <w:r>
        <w:rPr>
          <w:rFonts w:ascii="Titillium" w:hAnsi="Titillium"/>
          <w:iCs/>
          <w:caps w:val="0"/>
          <w:sz w:val="18"/>
          <w:szCs w:val="18"/>
        </w:rPr>
        <w:t xml:space="preserve"> </w:t>
      </w:r>
    </w:p>
    <w:p w14:paraId="3EDFBC05" w14:textId="77777777" w:rsidR="00276DF7" w:rsidRDefault="00276DF7" w:rsidP="00276DF7">
      <w:pPr>
        <w:shd w:val="clear" w:color="auto" w:fill="F2F2F2" w:themeFill="background1" w:themeFillShade="F2"/>
        <w:spacing w:before="60" w:after="60"/>
      </w:pPr>
      <w:r>
        <w:rPr>
          <w:rFonts w:ascii="Titillium" w:hAnsi="Titillium"/>
          <w:sz w:val="18"/>
          <w:szCs w:val="18"/>
        </w:rPr>
        <w:t xml:space="preserve">Quanto all’offerta economica, è attribuito all’elemento economico un coefficiente, variabile da zero ad uno, calcolato tramite la </w:t>
      </w:r>
      <w:r>
        <w:rPr>
          <w:rFonts w:ascii="Titillium" w:hAnsi="Titillium"/>
          <w:i/>
          <w:sz w:val="18"/>
          <w:szCs w:val="18"/>
        </w:rPr>
        <w:t>[selezionare una delle formule di seguito indicate]:</w:t>
      </w:r>
    </w:p>
    <w:p w14:paraId="283CDCAA" w14:textId="77777777" w:rsidR="00276DF7" w:rsidRDefault="00276DF7" w:rsidP="00276DF7">
      <w:pPr>
        <w:shd w:val="clear" w:color="auto" w:fill="F2F2F2" w:themeFill="background1" w:themeFillShade="F2"/>
        <w:spacing w:before="60" w:after="60"/>
      </w:pPr>
      <w:r>
        <w:rPr>
          <w:rFonts w:ascii="Titillium" w:hAnsi="Titillium"/>
          <w:b/>
          <w:sz w:val="18"/>
          <w:szCs w:val="18"/>
        </w:rPr>
        <w:t>Formula con interpolazione lineare</w:t>
      </w:r>
    </w:p>
    <w:p w14:paraId="41EA3F39" w14:textId="2FC7C2CE" w:rsidR="00276DF7" w:rsidRPr="000B3645" w:rsidRDefault="000B3645" w:rsidP="00276DF7">
      <w:pPr>
        <w:shd w:val="clear" w:color="auto" w:fill="F2F2F2" w:themeFill="background1" w:themeFillShade="F2"/>
        <w:spacing w:before="60" w:after="60"/>
      </w:pPr>
      <m:oMathPara>
        <m:oMath>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
                <m:sSubPr>
                  <m:ctrlPr>
                    <w:rPr>
                      <w:rFonts w:ascii="Cambria Math" w:hAnsi="Cambria Math"/>
                    </w:rPr>
                  </m:ctrlPr>
                </m:sSubPr>
                <m:e>
                  <m:r>
                    <w:rPr>
                      <w:rFonts w:ascii="Cambria Math" w:hAnsi="Cambria Math"/>
                    </w:rPr>
                    <m:t>A</m:t>
                  </m:r>
                </m:e>
                <m:sub>
                  <m:r>
                    <w:rPr>
                      <w:rFonts w:ascii="Cambria Math" w:hAnsi="Cambria Math"/>
                    </w:rPr>
                    <m:t>max</m:t>
                  </m:r>
                </m:sub>
              </m:sSub>
            </m:den>
          </m:f>
        </m:oMath>
      </m:oMathPara>
    </w:p>
    <w:p w14:paraId="528842E6" w14:textId="77777777" w:rsidR="00276DF7" w:rsidRPr="00DF6104" w:rsidRDefault="00276DF7" w:rsidP="00276DF7">
      <w:pPr>
        <w:shd w:val="clear" w:color="auto" w:fill="F2F2F2" w:themeFill="background1" w:themeFillShade="F2"/>
        <w:spacing w:before="60" w:after="60"/>
        <w:rPr>
          <w:rFonts w:ascii="Titillium" w:hAnsi="Titillium"/>
          <w:sz w:val="18"/>
          <w:szCs w:val="18"/>
        </w:rPr>
      </w:pPr>
      <w:r w:rsidRPr="00DF6104">
        <w:rPr>
          <w:rFonts w:ascii="Titillium" w:hAnsi="Titillium"/>
          <w:sz w:val="18"/>
          <w:szCs w:val="18"/>
        </w:rPr>
        <w:t>dove</w:t>
      </w:r>
    </w:p>
    <w:p w14:paraId="507B5F8C" w14:textId="11BE1321" w:rsidR="00276DF7" w:rsidRPr="00DF6104"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276DF7" w:rsidRPr="00DF6104">
        <w:rPr>
          <w:rFonts w:ascii="Titillium" w:hAnsi="Titillium"/>
          <w:sz w:val="18"/>
          <w:szCs w:val="18"/>
        </w:rPr>
        <w:t xml:space="preserve"> = coefficiente attribuito al concorrente i-esimo</w:t>
      </w:r>
    </w:p>
    <w:p w14:paraId="280D7094" w14:textId="6B2A3E6F"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276DF7" w:rsidRPr="00DF6104">
        <w:rPr>
          <w:rFonts w:ascii="Titillium" w:hAnsi="Titillium"/>
          <w:sz w:val="18"/>
          <w:szCs w:val="18"/>
        </w:rPr>
        <w:t xml:space="preserve"> = ribasso percentuale del concorrente i-esimo</w:t>
      </w:r>
    </w:p>
    <w:p w14:paraId="26A494C4" w14:textId="5DF96C29"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276DF7">
        <w:rPr>
          <w:rFonts w:ascii="Titillium" w:hAnsi="Titillium"/>
          <w:sz w:val="18"/>
          <w:szCs w:val="18"/>
        </w:rPr>
        <w:t xml:space="preserve"> = ribasso percentuale più conveniente</w:t>
      </w:r>
    </w:p>
    <w:p w14:paraId="12EBE31F" w14:textId="77777777" w:rsidR="00276DF7" w:rsidRDefault="00276DF7" w:rsidP="00276DF7">
      <w:pPr>
        <w:shd w:val="clear" w:color="auto" w:fill="F2F2F2" w:themeFill="background1" w:themeFillShade="F2"/>
        <w:spacing w:before="60" w:after="60"/>
        <w:rPr>
          <w:rFonts w:ascii="Titillium" w:hAnsi="Titillium"/>
          <w:i/>
          <w:sz w:val="18"/>
          <w:szCs w:val="18"/>
        </w:rPr>
      </w:pPr>
    </w:p>
    <w:p w14:paraId="7E74CD69" w14:textId="77777777" w:rsidR="00276DF7" w:rsidRDefault="00276DF7" w:rsidP="00276DF7">
      <w:pPr>
        <w:shd w:val="clear" w:color="auto" w:fill="F2F2F2" w:themeFill="background1" w:themeFillShade="F2"/>
        <w:spacing w:before="60" w:after="60"/>
        <w:rPr>
          <w:rFonts w:ascii="Titillium" w:hAnsi="Titillium"/>
          <w:b/>
          <w:i/>
          <w:sz w:val="18"/>
          <w:szCs w:val="18"/>
        </w:rPr>
      </w:pPr>
      <w:r>
        <w:rPr>
          <w:rFonts w:ascii="Titillium" w:hAnsi="Titillium"/>
          <w:b/>
          <w:i/>
          <w:sz w:val="18"/>
          <w:szCs w:val="18"/>
        </w:rPr>
        <w:t xml:space="preserve"> [o in alternativa] </w:t>
      </w:r>
    </w:p>
    <w:p w14:paraId="61F93B57" w14:textId="77777777" w:rsidR="00276DF7" w:rsidRDefault="00276DF7" w:rsidP="00276DF7">
      <w:pPr>
        <w:shd w:val="clear" w:color="auto" w:fill="F2F2F2" w:themeFill="background1" w:themeFillShade="F2"/>
        <w:spacing w:before="60" w:after="60"/>
        <w:rPr>
          <w:rFonts w:ascii="Titillium" w:hAnsi="Titillium"/>
          <w:b/>
          <w:sz w:val="18"/>
          <w:szCs w:val="18"/>
        </w:rPr>
      </w:pPr>
      <w:r>
        <w:rPr>
          <w:rFonts w:ascii="Titillium" w:hAnsi="Titillium"/>
          <w:b/>
          <w:sz w:val="18"/>
          <w:szCs w:val="18"/>
        </w:rPr>
        <w:t xml:space="preserve">Formula “bilineare” </w:t>
      </w:r>
    </w:p>
    <w:p w14:paraId="31665EBC" w14:textId="7C387D5F" w:rsidR="00276DF7" w:rsidRPr="000B3645" w:rsidRDefault="000B3645" w:rsidP="00276DF7">
      <w:pPr>
        <w:shd w:val="clear" w:color="auto" w:fill="F2F2F2" w:themeFill="background1" w:themeFillShade="F2"/>
        <w:spacing w:before="60" w:after="60"/>
      </w:pPr>
      <m:oMathPara>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=X∙</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
                            <m:sSubPr>
                              <m:ctrlPr>
                                <w:rPr>
                                  <w:rFonts w:ascii="Cambria Math" w:hAnsi="Cambria Math"/>
                                </w:rPr>
                              </m:ctrlPr>
                            </m:sSubPr>
                            <m:e>
                              <m:r>
                                <w:rPr>
                                  <w:rFonts w:ascii="Cambria Math" w:hAnsi="Cambria Math"/>
                                </w:rPr>
                                <m:t>A</m:t>
                              </m:r>
                            </m:e>
                            <m:sub>
                              <m:r>
                                <w:rPr>
                                  <w:rFonts w:ascii="Cambria Math" w:hAnsi="Cambria Math"/>
                                </w:rPr>
                                <m:t>soglia</m:t>
                              </m:r>
                            </m:sub>
                          </m:sSub>
                        </m:den>
                      </m:f>
                    </m:e>
                  </m:d>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=X+</m:t>
                  </m:r>
                  <m:d>
                    <m:dPr>
                      <m:ctrlPr>
                        <w:rPr>
                          <w:rFonts w:ascii="Cambria Math" w:hAnsi="Cambria Math"/>
                        </w:rPr>
                      </m:ctrlPr>
                    </m:dPr>
                    <m:e>
                      <m:r>
                        <w:rPr>
                          <w:rFonts w:ascii="Cambria Math" w:hAnsi="Cambria Math"/>
                        </w:rPr>
                        <m:t>1-X</m:t>
                      </m:r>
                    </m:e>
                  </m:d>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d>
                        </m:num>
                        <m:den>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d>
                        </m:den>
                      </m:f>
                    </m:e>
                  </m:d>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&gt;</m:t>
                  </m:r>
                  <m:sSub>
                    <m:sSubPr>
                      <m:ctrlPr>
                        <w:rPr>
                          <w:rFonts w:ascii="Cambria Math" w:hAnsi="Cambria Math"/>
                        </w:rPr>
                      </m:ctrlPr>
                    </m:sSubPr>
                    <m:e>
                      <m:r>
                        <w:rPr>
                          <w:rFonts w:ascii="Cambria Math" w:hAnsi="Cambria Math"/>
                        </w:rPr>
                        <m:t>A</m:t>
                      </m:r>
                    </m:e>
                    <m:sub>
                      <m:r>
                        <w:rPr>
                          <w:rFonts w:ascii="Cambria Math" w:hAnsi="Cambria Math"/>
                        </w:rPr>
                        <m:t>soglia</m:t>
                      </m:r>
                    </m:sub>
                  </m:sSub>
                </m:e>
              </m:eqArr>
            </m:e>
          </m:d>
        </m:oMath>
      </m:oMathPara>
    </w:p>
    <w:p w14:paraId="3F4D1BE0"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dove</w:t>
      </w:r>
    </w:p>
    <w:p w14:paraId="0C334874" w14:textId="695BC55B"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276DF7">
        <w:rPr>
          <w:rFonts w:ascii="Titillium" w:hAnsi="Titillium"/>
          <w:sz w:val="18"/>
          <w:szCs w:val="18"/>
        </w:rPr>
        <w:t xml:space="preserve"> = coefficiente attribuito al concorrente i-esimo</w:t>
      </w:r>
    </w:p>
    <w:p w14:paraId="266F4915" w14:textId="0D7CFFEC"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276DF7">
        <w:rPr>
          <w:rFonts w:ascii="Titillium" w:hAnsi="Titillium"/>
          <w:sz w:val="18"/>
          <w:szCs w:val="18"/>
        </w:rPr>
        <w:t xml:space="preserve"> = ribasso percentuale del concorrente i-esimo</w:t>
      </w:r>
    </w:p>
    <w:p w14:paraId="16537449" w14:textId="73851882"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A</m:t>
            </m:r>
          </m:e>
          <m:sub>
            <m:r>
              <w:rPr>
                <w:rFonts w:ascii="Cambria Math" w:hAnsi="Cambria Math"/>
              </w:rPr>
              <m:t>soglia</m:t>
            </m:r>
          </m:sub>
        </m:sSub>
      </m:oMath>
      <w:r w:rsidR="00276DF7">
        <w:rPr>
          <w:rFonts w:ascii="Titillium" w:hAnsi="Titillium"/>
          <w:sz w:val="18"/>
          <w:szCs w:val="18"/>
        </w:rPr>
        <w:t>= media percentuale dei valori del ribasso percentuale offerto dai concorrenti</w:t>
      </w:r>
    </w:p>
    <w:p w14:paraId="1AA0DD34" w14:textId="77777777" w:rsidR="00276DF7" w:rsidRDefault="00276DF7" w:rsidP="00276DF7">
      <w:pPr>
        <w:shd w:val="clear" w:color="auto" w:fill="F2F2F2" w:themeFill="background1" w:themeFillShade="F2"/>
        <w:spacing w:before="60" w:after="60"/>
      </w:pPr>
      <w:r>
        <w:rPr>
          <w:rFonts w:ascii="Titillium" w:hAnsi="Titillium"/>
          <w:sz w:val="18"/>
          <w:szCs w:val="18"/>
        </w:rPr>
        <w:t xml:space="preserve">X = 0,80 oppure 0,85 oppure 0,90 </w:t>
      </w:r>
      <w:r>
        <w:rPr>
          <w:rFonts w:ascii="Titillium" w:hAnsi="Titillium"/>
          <w:i/>
          <w:sz w:val="18"/>
          <w:szCs w:val="18"/>
        </w:rPr>
        <w:t>[indicare nei documenti di gara la percentuale applicata</w:t>
      </w:r>
      <w:r>
        <w:rPr>
          <w:rFonts w:ascii="Titillium" w:hAnsi="Titillium"/>
          <w:sz w:val="18"/>
          <w:szCs w:val="18"/>
        </w:rPr>
        <w:t>]</w:t>
      </w:r>
    </w:p>
    <w:p w14:paraId="2852CEB6" w14:textId="47DB2EE6"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276DF7">
        <w:rPr>
          <w:rFonts w:ascii="Titillium" w:hAnsi="Titillium"/>
          <w:sz w:val="18"/>
          <w:szCs w:val="18"/>
        </w:rPr>
        <w:t xml:space="preserve"> = valore del ribasso più conveniente</w:t>
      </w:r>
    </w:p>
    <w:p w14:paraId="0BD0E626" w14:textId="77777777" w:rsidR="00276DF7" w:rsidRDefault="00276DF7" w:rsidP="00276DF7">
      <w:pPr>
        <w:shd w:val="clear" w:color="auto" w:fill="F2F2F2" w:themeFill="background1" w:themeFillShade="F2"/>
        <w:spacing w:before="60" w:after="60"/>
        <w:rPr>
          <w:rFonts w:ascii="Titillium" w:hAnsi="Titillium"/>
          <w:b/>
          <w:i/>
          <w:sz w:val="18"/>
          <w:szCs w:val="18"/>
        </w:rPr>
      </w:pPr>
    </w:p>
    <w:p w14:paraId="681A04F6" w14:textId="77777777" w:rsidR="00276DF7" w:rsidRPr="00DF6104" w:rsidRDefault="00276DF7" w:rsidP="00276DF7">
      <w:pPr>
        <w:shd w:val="clear" w:color="auto" w:fill="F2F2F2" w:themeFill="background1" w:themeFillShade="F2"/>
        <w:spacing w:before="60" w:after="60"/>
        <w:rPr>
          <w:rFonts w:ascii="Titillium" w:hAnsi="Titillium"/>
          <w:b/>
          <w:i/>
          <w:sz w:val="18"/>
          <w:szCs w:val="18"/>
        </w:rPr>
      </w:pPr>
      <w:r w:rsidRPr="00DF6104">
        <w:rPr>
          <w:rFonts w:ascii="Titillium" w:hAnsi="Titillium"/>
          <w:b/>
          <w:i/>
          <w:sz w:val="18"/>
          <w:szCs w:val="18"/>
        </w:rPr>
        <w:t xml:space="preserve">[o in alternativa] </w:t>
      </w:r>
    </w:p>
    <w:p w14:paraId="493D444F" w14:textId="77777777" w:rsidR="00276DF7" w:rsidRPr="00DF6104" w:rsidRDefault="00276DF7" w:rsidP="00276DF7">
      <w:pPr>
        <w:shd w:val="clear" w:color="auto" w:fill="F2F2F2" w:themeFill="background1" w:themeFillShade="F2"/>
        <w:spacing w:before="60" w:after="60"/>
        <w:rPr>
          <w:rFonts w:ascii="Titillium" w:hAnsi="Titillium"/>
          <w:b/>
          <w:sz w:val="18"/>
          <w:szCs w:val="18"/>
        </w:rPr>
      </w:pPr>
      <w:r w:rsidRPr="00DF6104">
        <w:rPr>
          <w:rFonts w:ascii="Titillium" w:hAnsi="Titillium"/>
          <w:b/>
          <w:sz w:val="18"/>
          <w:szCs w:val="18"/>
        </w:rPr>
        <w:t xml:space="preserve">Formula “quadratica” </w:t>
      </w:r>
    </w:p>
    <w:p w14:paraId="4E72569A" w14:textId="011ADB25" w:rsidR="00276DF7" w:rsidRPr="000B3645" w:rsidRDefault="000B3645" w:rsidP="00276DF7">
      <w:pPr>
        <w:shd w:val="clear" w:color="auto" w:fill="F2F2F2" w:themeFill="background1" w:themeFillShade="F2"/>
        <w:spacing w:before="60" w:after="60"/>
        <w:jc w:val="center"/>
        <w:rPr>
          <w:rFonts w:ascii="Titillium" w:hAnsi="Titillium"/>
          <w:b/>
          <w:i/>
          <w:sz w:val="18"/>
          <w:szCs w:val="18"/>
        </w:rPr>
      </w:pPr>
      <m:oMathPara>
        <m:oMath>
          <m:sSub>
            <m:sSubPr>
              <m:ctrlPr>
                <w:rPr>
                  <w:rFonts w:ascii="Cambria Math" w:hAnsi="Cambria Math"/>
                  <w:b/>
                  <w:i/>
                  <w:sz w:val="18"/>
                  <w:szCs w:val="18"/>
                </w:rPr>
              </m:ctrlPr>
            </m:sSubPr>
            <m:e>
              <m:r>
                <m:rPr>
                  <m:sty m:val="bi"/>
                </m:rPr>
                <w:rPr>
                  <w:rFonts w:ascii="Cambria Math" w:hAnsi="Cambria Math"/>
                  <w:sz w:val="18"/>
                  <w:szCs w:val="18"/>
                </w:rPr>
                <m:t>C</m:t>
              </m:r>
            </m:e>
            <m:sub>
              <m:r>
                <m:rPr>
                  <m:sty m:val="bi"/>
                </m:rPr>
                <w:rPr>
                  <w:rFonts w:ascii="Cambria Math" w:hAnsi="Cambria Math"/>
                  <w:sz w:val="18"/>
                  <w:szCs w:val="18"/>
                </w:rPr>
                <m:t>i</m:t>
              </m:r>
            </m:sub>
          </m:sSub>
          <m:r>
            <m:rPr>
              <m:sty m:val="bi"/>
            </m:rPr>
            <w:rPr>
              <w:rFonts w:ascii="Cambria Math" w:hAnsi="Cambria Math"/>
              <w:sz w:val="18"/>
              <w:szCs w:val="18"/>
            </w:rPr>
            <m:t>=</m:t>
          </m:r>
          <m:sSup>
            <m:sSupPr>
              <m:ctrlPr>
                <w:rPr>
                  <w:rFonts w:ascii="Cambria Math" w:hAnsi="Cambria Math"/>
                  <w:b/>
                  <w:i/>
                  <w:sz w:val="18"/>
                  <w:szCs w:val="18"/>
                </w:rPr>
              </m:ctrlPr>
            </m:sSupPr>
            <m:e>
              <m:d>
                <m:dPr>
                  <m:ctrlPr>
                    <w:rPr>
                      <w:rFonts w:ascii="Cambria Math" w:hAnsi="Cambria Math"/>
                      <w:b/>
                      <w:i/>
                      <w:sz w:val="18"/>
                      <w:szCs w:val="18"/>
                    </w:rPr>
                  </m:ctrlPr>
                </m:dPr>
                <m:e>
                  <m:f>
                    <m:fPr>
                      <m:ctrlPr>
                        <w:rPr>
                          <w:rFonts w:ascii="Cambria Math" w:hAnsi="Cambria Math"/>
                          <w:b/>
                          <w:i/>
                          <w:sz w:val="18"/>
                          <w:szCs w:val="18"/>
                        </w:rPr>
                      </m:ctrlPr>
                    </m:fPr>
                    <m:num>
                      <m:sSub>
                        <m:sSubPr>
                          <m:ctrlPr>
                            <w:rPr>
                              <w:rFonts w:ascii="Cambria Math" w:hAnsi="Cambria Math"/>
                              <w:b/>
                              <w:i/>
                              <w:sz w:val="18"/>
                              <w:szCs w:val="18"/>
                            </w:rPr>
                          </m:ctrlPr>
                        </m:sSubPr>
                        <m:e>
                          <m:r>
                            <m:rPr>
                              <m:sty m:val="bi"/>
                            </m:rPr>
                            <w:rPr>
                              <w:rFonts w:ascii="Cambria Math" w:hAnsi="Cambria Math"/>
                              <w:sz w:val="18"/>
                              <w:szCs w:val="18"/>
                            </w:rPr>
                            <m:t>A</m:t>
                          </m:r>
                        </m:e>
                        <m:sub>
                          <m:r>
                            <m:rPr>
                              <m:sty m:val="bi"/>
                            </m:rPr>
                            <w:rPr>
                              <w:rFonts w:ascii="Cambria Math" w:hAnsi="Cambria Math"/>
                              <w:sz w:val="18"/>
                              <w:szCs w:val="18"/>
                            </w:rPr>
                            <m:t>i</m:t>
                          </m:r>
                        </m:sub>
                      </m:sSub>
                    </m:num>
                    <m:den>
                      <m:sSub>
                        <m:sSubPr>
                          <m:ctrlPr>
                            <w:rPr>
                              <w:rFonts w:ascii="Cambria Math" w:hAnsi="Cambria Math"/>
                              <w:b/>
                              <w:i/>
                              <w:sz w:val="18"/>
                              <w:szCs w:val="18"/>
                            </w:rPr>
                          </m:ctrlPr>
                        </m:sSubPr>
                        <m:e>
                          <m:r>
                            <m:rPr>
                              <m:sty m:val="bi"/>
                            </m:rPr>
                            <w:rPr>
                              <w:rFonts w:ascii="Cambria Math" w:hAnsi="Cambria Math"/>
                              <w:sz w:val="18"/>
                              <w:szCs w:val="18"/>
                            </w:rPr>
                            <m:t>A</m:t>
                          </m:r>
                        </m:e>
                        <m:sub>
                          <m:r>
                            <m:rPr>
                              <m:sty m:val="bi"/>
                            </m:rPr>
                            <w:rPr>
                              <w:rFonts w:ascii="Cambria Math" w:hAnsi="Cambria Math"/>
                              <w:sz w:val="18"/>
                              <w:szCs w:val="18"/>
                            </w:rPr>
                            <m:t>max</m:t>
                          </m:r>
                        </m:sub>
                      </m:sSub>
                    </m:den>
                  </m:f>
                </m:e>
              </m:d>
            </m:e>
            <m:sup>
              <m:r>
                <m:rPr>
                  <m:sty m:val="bi"/>
                </m:rPr>
                <w:rPr>
                  <w:rFonts w:ascii="Cambria Math" w:hAnsi="Cambria Math"/>
                  <w:sz w:val="18"/>
                  <w:szCs w:val="18"/>
                </w:rPr>
                <m:t>∝</m:t>
              </m:r>
            </m:sup>
          </m:sSup>
        </m:oMath>
      </m:oMathPara>
    </w:p>
    <w:p w14:paraId="13712BDD" w14:textId="77777777" w:rsidR="00276DF7" w:rsidRPr="00DF6104" w:rsidRDefault="00276DF7" w:rsidP="00276DF7">
      <w:pPr>
        <w:shd w:val="clear" w:color="auto" w:fill="F2F2F2" w:themeFill="background1" w:themeFillShade="F2"/>
        <w:spacing w:before="60" w:after="60"/>
        <w:rPr>
          <w:rFonts w:ascii="Titillium" w:hAnsi="Titillium"/>
          <w:sz w:val="18"/>
          <w:szCs w:val="18"/>
        </w:rPr>
      </w:pPr>
      <w:r w:rsidRPr="00DF6104">
        <w:rPr>
          <w:rFonts w:ascii="Titillium" w:hAnsi="Titillium"/>
          <w:sz w:val="18"/>
          <w:szCs w:val="18"/>
        </w:rPr>
        <w:t>dove</w:t>
      </w:r>
    </w:p>
    <w:p w14:paraId="77AC6F8F" w14:textId="3CDDF96F" w:rsidR="00276DF7" w:rsidRPr="00DF6104"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276DF7" w:rsidRPr="00DF6104">
        <w:rPr>
          <w:rFonts w:ascii="Titillium" w:hAnsi="Titillium"/>
          <w:sz w:val="18"/>
          <w:szCs w:val="18"/>
        </w:rPr>
        <w:t xml:space="preserve"> = coefficiente attribuito al concorrente i-esimo</w:t>
      </w:r>
    </w:p>
    <w:p w14:paraId="2D40BC95" w14:textId="7979F723"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276DF7" w:rsidRPr="00DF6104">
        <w:rPr>
          <w:rFonts w:ascii="Titillium" w:hAnsi="Titillium"/>
          <w:sz w:val="18"/>
          <w:szCs w:val="18"/>
        </w:rPr>
        <w:t xml:space="preserve"> = ribasso percentuale del concorrente i-esimo</w:t>
      </w:r>
    </w:p>
    <w:p w14:paraId="278F6EE1" w14:textId="37FF811D"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276DF7">
        <w:rPr>
          <w:rFonts w:ascii="Titillium" w:hAnsi="Titillium"/>
          <w:sz w:val="18"/>
          <w:szCs w:val="18"/>
        </w:rPr>
        <w:t xml:space="preserve"> = ribasso percentuale più conveniente</w:t>
      </w:r>
    </w:p>
    <w:p w14:paraId="449D83E8" w14:textId="0D8B5BEF" w:rsidR="00276DF7" w:rsidRPr="00DF6104" w:rsidRDefault="00276DF7" w:rsidP="00276DF7">
      <w:pPr>
        <w:shd w:val="clear" w:color="auto" w:fill="F2F2F2" w:themeFill="background1" w:themeFillShade="F2"/>
        <w:spacing w:before="60" w:after="60"/>
        <w:rPr>
          <w:rFonts w:ascii="Titillium" w:hAnsi="Titillium"/>
          <w:sz w:val="18"/>
          <w:szCs w:val="18"/>
          <w:u w:val="single"/>
        </w:rPr>
      </w:pPr>
      <w:r>
        <w:rPr>
          <w:rFonts w:ascii="Courier New" w:hAnsi="Courier New" w:cs="Courier New"/>
          <w:b/>
          <w:i/>
          <w:sz w:val="18"/>
          <w:szCs w:val="18"/>
        </w:rPr>
        <w:t>α</w:t>
      </w:r>
      <w:r>
        <w:rPr>
          <w:rFonts w:ascii="Titillium" w:hAnsi="Titillium"/>
          <w:b/>
          <w:i/>
          <w:sz w:val="18"/>
          <w:szCs w:val="18"/>
        </w:rPr>
        <w:t xml:space="preserve"> = </w:t>
      </w:r>
      <w:r>
        <w:rPr>
          <w:rFonts w:ascii="Titillium" w:hAnsi="Titillium"/>
          <w:sz w:val="18"/>
          <w:szCs w:val="18"/>
        </w:rPr>
        <w:t xml:space="preserve"> coefficiente tale per cui </w:t>
      </w:r>
      <m:oMath>
        <m:r>
          <w:rPr>
            <w:rFonts w:ascii="Cambria Math" w:hAnsi="Cambria Math"/>
            <w:sz w:val="18"/>
            <w:szCs w:val="18"/>
          </w:rPr>
          <m:t>0&lt;∝&lt;1</m:t>
        </m:r>
      </m:oMath>
    </w:p>
    <w:p w14:paraId="69DA30C6" w14:textId="77777777" w:rsidR="00276DF7" w:rsidRDefault="00276DF7" w:rsidP="00276DF7">
      <w:pPr>
        <w:shd w:val="clear" w:color="auto" w:fill="F2F2F2" w:themeFill="background1" w:themeFillShade="F2"/>
        <w:spacing w:before="60" w:after="60"/>
        <w:rPr>
          <w:rFonts w:ascii="Titillium" w:hAnsi="Titillium"/>
          <w:b/>
          <w:i/>
          <w:sz w:val="18"/>
          <w:szCs w:val="18"/>
        </w:rPr>
      </w:pPr>
    </w:p>
    <w:p w14:paraId="728DFF6F" w14:textId="77777777" w:rsidR="00276DF7" w:rsidRPr="00A73BEB" w:rsidRDefault="00276DF7" w:rsidP="00276DF7">
      <w:pPr>
        <w:shd w:val="clear" w:color="auto" w:fill="F2F2F2" w:themeFill="background1" w:themeFillShade="F2"/>
        <w:spacing w:before="60" w:after="60"/>
        <w:rPr>
          <w:rFonts w:ascii="Titillium" w:hAnsi="Titillium"/>
          <w:sz w:val="18"/>
          <w:szCs w:val="18"/>
        </w:rPr>
      </w:pPr>
    </w:p>
    <w:tbl>
      <w:tblPr>
        <w:tblStyle w:val="Grigliatabella"/>
        <w:tblW w:w="0" w:type="auto"/>
        <w:tblLook w:val="04A0" w:firstRow="1" w:lastRow="0" w:firstColumn="1" w:lastColumn="0" w:noHBand="0" w:noVBand="1"/>
      </w:tblPr>
      <w:tblGrid>
        <w:gridCol w:w="9214"/>
      </w:tblGrid>
      <w:tr w:rsidR="00276DF7" w14:paraId="5E335185" w14:textId="77777777" w:rsidTr="00EA5131">
        <w:tc>
          <w:tcPr>
            <w:tcW w:w="9214" w:type="dxa"/>
          </w:tcPr>
          <w:p w14:paraId="4C8D278E" w14:textId="77777777" w:rsidR="00276DF7" w:rsidRPr="0030072B" w:rsidRDefault="00276DF7" w:rsidP="00276DF7">
            <w:pPr>
              <w:shd w:val="clear" w:color="auto" w:fill="F2F2F2" w:themeFill="background1" w:themeFillShade="F2"/>
              <w:spacing w:before="60" w:after="60"/>
              <w:rPr>
                <w:rFonts w:ascii="Titillium" w:hAnsi="Titillium"/>
                <w:i/>
                <w:iCs/>
                <w:sz w:val="18"/>
                <w:szCs w:val="18"/>
              </w:rPr>
            </w:pPr>
            <w:r w:rsidRPr="0030072B">
              <w:rPr>
                <w:rFonts w:ascii="Titillium" w:hAnsi="Titillium"/>
                <w:i/>
                <w:iCs/>
                <w:sz w:val="18"/>
                <w:szCs w:val="18"/>
              </w:rPr>
              <w:t xml:space="preserve">N.B. La formula bilineare viene normalmente utilizzata per scongiurare il rischio di ribassi eccessivi. Nel caso di ribassi tutti concentrati intorno alla media si potrebbe determinare un premio eccessivo per il ribasso maggiore, con un risultato opposto rispetto a quello desiderato con l’utilizzo della formula bilineare. La stazione appaltante dovrebbe valutare ciò nella predisposizione della documentazione di gara, favorendo per quei possibili casi formule alternative, quali la formula quadratica con un coefficiente </w:t>
            </w:r>
            <w:r w:rsidRPr="0030072B">
              <w:rPr>
                <w:rFonts w:ascii="Courier New" w:hAnsi="Courier New" w:cs="Courier New"/>
                <w:i/>
                <w:iCs/>
                <w:sz w:val="18"/>
                <w:szCs w:val="18"/>
              </w:rPr>
              <w:t>α</w:t>
            </w:r>
            <w:r w:rsidRPr="0030072B">
              <w:rPr>
                <w:rFonts w:ascii="Titillium" w:hAnsi="Titillium"/>
                <w:i/>
                <w:iCs/>
                <w:sz w:val="18"/>
                <w:szCs w:val="18"/>
              </w:rPr>
              <w:t>&lt;1.  Ulteriori indicazioni sono contenute nella Relazione Illustrativa.</w:t>
            </w:r>
          </w:p>
        </w:tc>
      </w:tr>
    </w:tbl>
    <w:p w14:paraId="71CB3A79" w14:textId="77777777" w:rsidR="00276DF7" w:rsidRPr="00A73BEB" w:rsidRDefault="00276DF7" w:rsidP="00276DF7">
      <w:pPr>
        <w:shd w:val="clear" w:color="auto" w:fill="F2F2F2" w:themeFill="background1" w:themeFillShade="F2"/>
        <w:spacing w:before="60" w:after="60"/>
        <w:rPr>
          <w:rFonts w:ascii="Titillium" w:hAnsi="Titillium"/>
        </w:rPr>
      </w:pPr>
    </w:p>
    <w:p w14:paraId="1C8F2806" w14:textId="77777777" w:rsidR="00276DF7" w:rsidRDefault="00276DF7" w:rsidP="00276DF7">
      <w:pPr>
        <w:shd w:val="clear" w:color="auto" w:fill="F2F2F2" w:themeFill="background1" w:themeFillShade="F2"/>
        <w:spacing w:before="60" w:after="60"/>
        <w:rPr>
          <w:rFonts w:ascii="Titillium" w:hAnsi="Titillium"/>
          <w:b/>
          <w:i/>
          <w:sz w:val="18"/>
          <w:szCs w:val="18"/>
        </w:rPr>
      </w:pPr>
      <w:r>
        <w:rPr>
          <w:rFonts w:ascii="Titillium" w:hAnsi="Titillium"/>
          <w:b/>
          <w:i/>
          <w:sz w:val="18"/>
          <w:szCs w:val="18"/>
        </w:rPr>
        <w:t>[o in alternativa]</w:t>
      </w:r>
    </w:p>
    <w:p w14:paraId="3AFF2F98" w14:textId="77777777" w:rsidR="00276DF7" w:rsidRDefault="00276DF7" w:rsidP="00276DF7">
      <w:pPr>
        <w:shd w:val="clear" w:color="auto" w:fill="F2F2F2" w:themeFill="background1" w:themeFillShade="F2"/>
        <w:spacing w:before="60" w:after="60"/>
        <w:rPr>
          <w:rFonts w:ascii="Titillium" w:hAnsi="Titillium"/>
          <w:i/>
          <w:sz w:val="18"/>
          <w:szCs w:val="18"/>
        </w:rPr>
      </w:pPr>
      <w:r>
        <w:rPr>
          <w:rFonts w:ascii="Titillium" w:hAnsi="Titillium"/>
          <w:b/>
          <w:sz w:val="18"/>
          <w:szCs w:val="18"/>
        </w:rPr>
        <w:t xml:space="preserve">Formula “…”   </w:t>
      </w:r>
      <w:r>
        <w:rPr>
          <w:rFonts w:ascii="Titillium" w:hAnsi="Titillium"/>
          <w:i/>
          <w:sz w:val="18"/>
          <w:szCs w:val="18"/>
        </w:rPr>
        <w:t>[Riportare la formula non lineare/indipendente prescelta</w:t>
      </w:r>
      <w:r w:rsidRPr="0013560D">
        <w:rPr>
          <w:rFonts w:ascii="Titillium" w:hAnsi="Titillium"/>
          <w:i/>
          <w:sz w:val="18"/>
          <w:szCs w:val="18"/>
        </w:rPr>
        <w:t>].</w:t>
      </w:r>
    </w:p>
    <w:p w14:paraId="6AD1A3A5" w14:textId="77777777" w:rsidR="00276DF7" w:rsidRDefault="00276DF7" w:rsidP="00276DF7">
      <w:pPr>
        <w:shd w:val="clear" w:color="auto" w:fill="F2F2F2" w:themeFill="background1" w:themeFillShade="F2"/>
        <w:spacing w:before="60" w:after="60"/>
        <w:rPr>
          <w:rFonts w:ascii="Titillium" w:hAnsi="Titillium"/>
          <w:i/>
          <w:sz w:val="18"/>
          <w:szCs w:val="18"/>
        </w:rPr>
      </w:pPr>
    </w:p>
    <w:p w14:paraId="077FF172" w14:textId="77777777" w:rsidR="00276DF7"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i/>
          <w:sz w:val="18"/>
          <w:szCs w:val="18"/>
        </w:rPr>
      </w:pPr>
      <w:r w:rsidRPr="005D2838">
        <w:rPr>
          <w:rFonts w:ascii="Titillium" w:hAnsi="Titillium"/>
          <w:i/>
          <w:sz w:val="18"/>
          <w:szCs w:val="18"/>
        </w:rPr>
        <w:t>N.B.</w:t>
      </w:r>
      <w:r w:rsidRPr="00A87259">
        <w:rPr>
          <w:rFonts w:ascii="Titillium" w:hAnsi="Titillium"/>
          <w:i/>
          <w:sz w:val="18"/>
          <w:szCs w:val="18"/>
        </w:rPr>
        <w:t xml:space="preserve"> Nel caso in cui l’oggetto dell’appalto sia costituito da una pluralità di beni o servizi per ciascuno dei quali sia richiesta un’offerta economica da parte dei concorrenti, la stazione appaltante può calcolare il punteggio dell’offerta economica sul ribasso medio complessivo o sui singoli ribassi. Le due opzioni non sono equivalenti e conducono a risultati differenti. Il ribasso medio permette di premiare l’offerta complessivamente più conveniente per la stazione appaltante, il ribasso sulle singole voci può permettere di avere una quotazione dei singoli beni o servizi (che potrebbe essere utile</w:t>
      </w:r>
      <w:r>
        <w:rPr>
          <w:rFonts w:ascii="Titillium" w:hAnsi="Titillium"/>
          <w:i/>
          <w:sz w:val="18"/>
          <w:szCs w:val="18"/>
        </w:rPr>
        <w:t>,</w:t>
      </w:r>
      <w:r w:rsidRPr="00A87259">
        <w:rPr>
          <w:rFonts w:ascii="Titillium" w:hAnsi="Titillium"/>
          <w:i/>
          <w:sz w:val="18"/>
          <w:szCs w:val="18"/>
        </w:rPr>
        <w:t xml:space="preserve"> ad esempio per la richiesta di servizi supplementari), ma rischia di distorcere l’esito della gara, ad esempio perché si valuta eccessivamente il punteggio ottenuto per un’offerta “marginale”.</w:t>
      </w:r>
    </w:p>
    <w:p w14:paraId="525E69AC" w14:textId="77777777" w:rsidR="00276DF7" w:rsidRPr="00205E05" w:rsidRDefault="00276DF7" w:rsidP="00276DF7">
      <w:pPr>
        <w:shd w:val="clear" w:color="auto" w:fill="F2F2F2" w:themeFill="background1" w:themeFillShade="F2"/>
        <w:spacing w:before="60" w:after="60"/>
      </w:pPr>
    </w:p>
    <w:p w14:paraId="0B08BB5D" w14:textId="77777777" w:rsidR="00276DF7" w:rsidRDefault="00276DF7" w:rsidP="00276DF7">
      <w:pPr>
        <w:pStyle w:val="Titolo3"/>
        <w:numPr>
          <w:ilvl w:val="1"/>
          <w:numId w:val="4"/>
        </w:numPr>
        <w:shd w:val="clear" w:color="auto" w:fill="F2F2F2" w:themeFill="background1" w:themeFillShade="F2"/>
        <w:ind w:left="426" w:hanging="426"/>
      </w:pPr>
      <w:bookmarkStart w:id="1975" w:name="_Ref497226795"/>
      <w:bookmarkStart w:id="1976" w:name="_Toc139549448"/>
      <w:r>
        <w:rPr>
          <w:rFonts w:ascii="Titillium" w:hAnsi="Titillium"/>
          <w:iCs/>
          <w:caps w:val="0"/>
          <w:sz w:val="18"/>
          <w:szCs w:val="18"/>
          <w:lang w:val="it-IT"/>
        </w:rPr>
        <w:t xml:space="preserve">METODO DI </w:t>
      </w:r>
      <w:r>
        <w:rPr>
          <w:rFonts w:ascii="Titillium" w:hAnsi="Titillium"/>
          <w:iCs/>
          <w:caps w:val="0"/>
          <w:sz w:val="18"/>
          <w:szCs w:val="18"/>
        </w:rPr>
        <w:t>CALCOLO DEI PUNTEGGI</w:t>
      </w:r>
      <w:bookmarkEnd w:id="1975"/>
      <w:bookmarkEnd w:id="1976"/>
    </w:p>
    <w:p w14:paraId="69088406" w14:textId="77777777" w:rsidR="00276DF7" w:rsidRDefault="00276DF7" w:rsidP="00276DF7">
      <w:pPr>
        <w:shd w:val="clear" w:color="auto" w:fill="F2F2F2" w:themeFill="background1" w:themeFillShade="F2"/>
        <w:spacing w:before="60" w:after="60"/>
      </w:pPr>
      <w:r>
        <w:rPr>
          <w:rFonts w:ascii="Titillium" w:hAnsi="Titillium"/>
          <w:sz w:val="18"/>
          <w:szCs w:val="18"/>
        </w:rPr>
        <w:t xml:space="preserve">La commissione, terminata l’attribuzione dei coefficienti agli elementi qualitativi e quantitativi, procede, in relazione a ciascuna offerta, all’attribuzione dei punteggi per </w:t>
      </w:r>
      <w:r>
        <w:rPr>
          <w:rFonts w:ascii="Titillium" w:hAnsi="Titillium"/>
          <w:sz w:val="18"/>
          <w:szCs w:val="18"/>
        </w:rPr>
        <w:lastRenderedPageBreak/>
        <w:t>ogni singolo criterio secondo il seguente metodo: ... [</w:t>
      </w:r>
      <w:r>
        <w:rPr>
          <w:rFonts w:ascii="Titillium" w:hAnsi="Titillium"/>
          <w:i/>
          <w:sz w:val="18"/>
          <w:szCs w:val="18"/>
        </w:rPr>
        <w:t>indicare, motivando la scelta, uno dei metodi - aggregativo compensatore, Electre, metodo AHP, Topsis o altri].</w:t>
      </w:r>
    </w:p>
    <w:p w14:paraId="06BDBE96" w14:textId="77777777" w:rsidR="00276DF7" w:rsidRDefault="00276DF7" w:rsidP="00276DF7">
      <w:pPr>
        <w:shd w:val="clear" w:color="auto" w:fill="F2F2F2" w:themeFill="background1" w:themeFillShade="F2"/>
        <w:spacing w:before="60" w:after="60"/>
        <w:rPr>
          <w:rFonts w:ascii="Titillium" w:hAnsi="Titillium" w:cs="Calibri"/>
          <w:b/>
          <w:i/>
          <w:lang w:eastAsia="it-IT"/>
        </w:rPr>
      </w:pPr>
    </w:p>
    <w:p w14:paraId="38454341" w14:textId="77777777" w:rsidR="00276DF7" w:rsidRDefault="00276DF7" w:rsidP="00276DF7">
      <w:pPr>
        <w:shd w:val="clear" w:color="auto" w:fill="F2F2F2" w:themeFill="background1" w:themeFillShade="F2"/>
        <w:spacing w:before="60" w:after="60"/>
      </w:pPr>
      <w:r>
        <w:rPr>
          <w:rFonts w:ascii="Titillium" w:hAnsi="Titillium" w:cs="Calibri"/>
          <w:b/>
          <w:i/>
          <w:sz w:val="18"/>
          <w:szCs w:val="18"/>
          <w:lang w:eastAsia="it-IT"/>
        </w:rPr>
        <w:t xml:space="preserve">[In caso di scelta del metodo aggregativo-compensatore] </w:t>
      </w:r>
      <w:r>
        <w:rPr>
          <w:rFonts w:ascii="Titillium" w:hAnsi="Titillium"/>
          <w:sz w:val="18"/>
          <w:szCs w:val="18"/>
        </w:rPr>
        <w:t xml:space="preserve">Il punteggio per il concorrente </w:t>
      </w:r>
      <w:r>
        <w:rPr>
          <w:rFonts w:ascii="Titillium" w:hAnsi="Titillium"/>
          <w:i/>
          <w:sz w:val="18"/>
          <w:szCs w:val="18"/>
        </w:rPr>
        <w:t>i-esimo</w:t>
      </w:r>
      <w:r>
        <w:rPr>
          <w:rFonts w:ascii="Titillium" w:hAnsi="Titillium"/>
          <w:sz w:val="18"/>
          <w:szCs w:val="18"/>
        </w:rPr>
        <w:t xml:space="preserve"> è dato dalla seguente formula:</w:t>
      </w:r>
    </w:p>
    <w:p w14:paraId="5431E862" w14:textId="587175FE" w:rsidR="00276DF7" w:rsidRPr="000B3645" w:rsidRDefault="000B3645" w:rsidP="00276DF7">
      <w:pPr>
        <w:shd w:val="clear" w:color="auto" w:fill="F2F2F2" w:themeFill="background1" w:themeFillShade="F2"/>
        <w:spacing w:before="60" w:after="60"/>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nary>
            <m:naryPr>
              <m:chr m:val="∑"/>
              <m:ctrlPr>
                <w:rPr>
                  <w:rFonts w:ascii="Cambria Math" w:hAnsi="Cambria Math"/>
                </w:rPr>
              </m:ctrlPr>
            </m:naryPr>
            <m:sub>
              <m:r>
                <w:rPr>
                  <w:rFonts w:ascii="Cambria Math" w:hAnsi="Cambria Math"/>
                </w:rPr>
                <m:t>x=1</m:t>
              </m:r>
            </m:sub>
            <m:sup>
              <m:r>
                <w:rPr>
                  <w:rFonts w:ascii="Cambria Math" w:hAnsi="Cambria Math"/>
                </w:rPr>
                <m:t>n</m:t>
              </m:r>
            </m:sup>
            <m:e>
              <m:sSub>
                <m:sSubPr>
                  <m:ctrlPr>
                    <w:rPr>
                      <w:rFonts w:ascii="Cambria Math" w:hAnsi="Cambria Math"/>
                    </w:rPr>
                  </m:ctrlPr>
                </m:sSubPr>
                <m:e>
                  <m:r>
                    <w:rPr>
                      <w:rFonts w:ascii="Cambria Math" w:hAnsi="Cambria Math"/>
                    </w:rPr>
                    <m:t>C</m:t>
                  </m:r>
                </m:e>
                <m:sub>
                  <m:r>
                    <w:rPr>
                      <w:rFonts w:ascii="Cambria Math" w:hAnsi="Cambria Math"/>
                    </w:rPr>
                    <m:t>xi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e>
          </m:nary>
        </m:oMath>
      </m:oMathPara>
    </w:p>
    <w:p w14:paraId="19ACD44A" w14:textId="77777777" w:rsidR="00276DF7" w:rsidRDefault="00276DF7" w:rsidP="00276DF7">
      <w:pPr>
        <w:shd w:val="clear" w:color="auto" w:fill="F2F2F2" w:themeFill="background1" w:themeFillShade="F2"/>
        <w:spacing w:before="60" w:after="60"/>
        <w:rPr>
          <w:rFonts w:ascii="Titillium" w:hAnsi="Titillium"/>
          <w:sz w:val="18"/>
          <w:szCs w:val="18"/>
        </w:rPr>
      </w:pPr>
      <w:r>
        <w:rPr>
          <w:rFonts w:ascii="Titillium" w:hAnsi="Titillium"/>
          <w:sz w:val="18"/>
          <w:szCs w:val="18"/>
        </w:rPr>
        <w:t>dove</w:t>
      </w:r>
    </w:p>
    <w:p w14:paraId="1658E8D0" w14:textId="440AD8FE"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P</m:t>
            </m:r>
          </m:e>
          <m:sub>
            <m:r>
              <w:rPr>
                <w:rFonts w:ascii="Cambria Math" w:hAnsi="Cambria Math"/>
              </w:rPr>
              <m:t>i</m:t>
            </m:r>
          </m:sub>
        </m:sSub>
      </m:oMath>
      <w:r w:rsidR="00276DF7">
        <w:rPr>
          <w:rFonts w:ascii="Titillium" w:hAnsi="Titillium"/>
          <w:sz w:val="18"/>
          <w:szCs w:val="18"/>
        </w:rPr>
        <w:t xml:space="preserve">= punteggio del concorrente </w:t>
      </w:r>
      <w:r w:rsidR="00276DF7">
        <w:rPr>
          <w:rFonts w:ascii="Titillium" w:hAnsi="Titillium"/>
          <w:i/>
          <w:sz w:val="18"/>
          <w:szCs w:val="18"/>
        </w:rPr>
        <w:t>i-esimo</w:t>
      </w:r>
    </w:p>
    <w:p w14:paraId="6BE82370" w14:textId="2A8E4971"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C</m:t>
            </m:r>
          </m:e>
          <m:sub>
            <m:r>
              <w:rPr>
                <w:rFonts w:ascii="Cambria Math" w:hAnsi="Cambria Math"/>
              </w:rPr>
              <m:t>xi</m:t>
            </m:r>
          </m:sub>
        </m:sSub>
      </m:oMath>
      <w:r w:rsidR="00276DF7">
        <w:rPr>
          <w:rFonts w:ascii="Titillium" w:hAnsi="Titillium"/>
          <w:sz w:val="18"/>
          <w:szCs w:val="18"/>
        </w:rPr>
        <w:t xml:space="preserve"> = coefficiente criterio di valutazione X per il concorrente </w:t>
      </w:r>
      <w:r w:rsidR="00276DF7">
        <w:rPr>
          <w:rFonts w:ascii="Titillium" w:hAnsi="Titillium"/>
          <w:i/>
          <w:sz w:val="18"/>
          <w:szCs w:val="18"/>
        </w:rPr>
        <w:t>i-esimo</w:t>
      </w:r>
    </w:p>
    <w:p w14:paraId="43A48283" w14:textId="00F7C8AF" w:rsidR="00276DF7" w:rsidRDefault="000B3645" w:rsidP="00276DF7">
      <w:pPr>
        <w:shd w:val="clear" w:color="auto" w:fill="F2F2F2" w:themeFill="background1" w:themeFillShade="F2"/>
        <w:spacing w:before="60" w:after="60"/>
      </w:pPr>
      <m:oMath>
        <m:sSub>
          <m:sSubPr>
            <m:ctrlPr>
              <w:rPr>
                <w:rFonts w:ascii="Cambria Math" w:hAnsi="Cambria Math"/>
              </w:rPr>
            </m:ctrlPr>
          </m:sSubPr>
          <m:e>
            <m:r>
              <w:rPr>
                <w:rFonts w:ascii="Cambria Math" w:hAnsi="Cambria Math"/>
              </w:rPr>
              <m:t>P</m:t>
            </m:r>
          </m:e>
          <m:sub>
            <m:r>
              <w:rPr>
                <w:rFonts w:ascii="Cambria Math" w:hAnsi="Cambria Math"/>
              </w:rPr>
              <m:t>x</m:t>
            </m:r>
          </m:sub>
        </m:sSub>
        <m:r>
          <w:rPr>
            <w:rFonts w:ascii="Cambria Math" w:hAnsi="Cambria Math"/>
          </w:rPr>
          <m:t>=</m:t>
        </m:r>
      </m:oMath>
      <w:r w:rsidR="00276DF7">
        <w:rPr>
          <w:rFonts w:ascii="Titillium" w:hAnsi="Titillium"/>
          <w:sz w:val="18"/>
          <w:szCs w:val="18"/>
        </w:rPr>
        <w:t xml:space="preserve"> punteggio criterio X</w:t>
      </w:r>
    </w:p>
    <w:p w14:paraId="192FBB20" w14:textId="77777777" w:rsidR="00276DF7" w:rsidRDefault="00276DF7" w:rsidP="00276DF7">
      <w:pPr>
        <w:shd w:val="clear" w:color="auto" w:fill="F2F2F2" w:themeFill="background1" w:themeFillShade="F2"/>
        <w:spacing w:before="60" w:after="60"/>
      </w:pPr>
      <w:r>
        <w:rPr>
          <w:rFonts w:ascii="Titillium" w:hAnsi="Titillium"/>
          <w:sz w:val="18"/>
          <w:szCs w:val="18"/>
        </w:rPr>
        <w:t>X = 1, 2, …, n [</w:t>
      </w:r>
      <w:r>
        <w:rPr>
          <w:rFonts w:ascii="Titillium" w:hAnsi="Titillium"/>
          <w:i/>
          <w:sz w:val="18"/>
          <w:szCs w:val="18"/>
        </w:rPr>
        <w:t>indicare il valore di n, ovvero il numero di criteri di valutazione</w:t>
      </w:r>
      <w:r>
        <w:rPr>
          <w:rFonts w:ascii="Titillium" w:hAnsi="Titillium"/>
          <w:sz w:val="18"/>
          <w:szCs w:val="18"/>
        </w:rPr>
        <w:t>]</w:t>
      </w:r>
    </w:p>
    <w:p w14:paraId="572A84CE" w14:textId="77777777" w:rsidR="00276DF7" w:rsidRDefault="00276DF7" w:rsidP="00276DF7">
      <w:pPr>
        <w:shd w:val="clear" w:color="auto" w:fill="F2F2F2" w:themeFill="background1" w:themeFillShade="F2"/>
        <w:spacing w:before="120" w:after="60"/>
      </w:pPr>
      <w:bookmarkStart w:id="1977" w:name="_Toc416423372"/>
      <w:bookmarkStart w:id="1978" w:name="_Toc406754189"/>
      <w:bookmarkStart w:id="1979" w:name="_Toc406058388"/>
      <w:bookmarkStart w:id="1980" w:name="_Toc403471280"/>
      <w:bookmarkStart w:id="1981" w:name="_Toc397422873"/>
      <w:bookmarkStart w:id="1982" w:name="_Toc397346832"/>
      <w:bookmarkStart w:id="1983" w:name="_Toc393706917"/>
      <w:bookmarkStart w:id="1984" w:name="_Toc393700844"/>
      <w:bookmarkStart w:id="1985" w:name="_Toc393283185"/>
      <w:bookmarkStart w:id="1986" w:name="_Toc393272669"/>
      <w:bookmarkStart w:id="1987" w:name="_Toc393272611"/>
      <w:bookmarkStart w:id="1988" w:name="_Toc393187855"/>
      <w:bookmarkStart w:id="1989" w:name="_Toc393112138"/>
      <w:bookmarkStart w:id="1990" w:name="_Toc393110574"/>
      <w:bookmarkStart w:id="1991" w:name="_Toc392577507"/>
      <w:bookmarkStart w:id="1992" w:name="_Toc391036066"/>
      <w:bookmarkStart w:id="1993" w:name="_Toc391035993"/>
      <w:bookmarkStart w:id="1994" w:name="_Toc380501880"/>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r>
        <w:rPr>
          <w:rFonts w:ascii="Titillium" w:eastAsia="SimSun" w:hAnsi="Titillium"/>
          <w:b/>
          <w:i/>
          <w:sz w:val="18"/>
          <w:szCs w:val="18"/>
        </w:rPr>
        <w:t>[</w:t>
      </w:r>
      <w:r>
        <w:rPr>
          <w:rFonts w:ascii="Titillium" w:hAnsi="Titillium" w:cs="Calibri"/>
          <w:b/>
          <w:i/>
          <w:sz w:val="18"/>
          <w:szCs w:val="18"/>
          <w:lang w:eastAsia="it-IT"/>
        </w:rPr>
        <w:t>In caso di scelta di un metodo diverso dall’aggregativo compensatore</w:t>
      </w:r>
      <w:r>
        <w:rPr>
          <w:rFonts w:ascii="Titillium" w:eastAsia="SimSun" w:hAnsi="Titillium"/>
          <w:b/>
          <w:i/>
          <w:sz w:val="18"/>
          <w:szCs w:val="18"/>
        </w:rPr>
        <w:t>]</w:t>
      </w:r>
    </w:p>
    <w:p w14:paraId="1535A5EF" w14:textId="77777777" w:rsidR="00276DF7" w:rsidRDefault="00276DF7" w:rsidP="00276DF7">
      <w:pPr>
        <w:shd w:val="clear" w:color="auto" w:fill="F2F2F2" w:themeFill="background1" w:themeFillShade="F2"/>
        <w:spacing w:before="60" w:after="60"/>
      </w:pPr>
      <w:r>
        <w:rPr>
          <w:rFonts w:ascii="Titillium" w:hAnsi="Titillium"/>
          <w:sz w:val="18"/>
          <w:szCs w:val="18"/>
        </w:rPr>
        <w:t xml:space="preserve">Il punteggio è dato </w:t>
      </w:r>
      <w:r>
        <w:rPr>
          <w:rFonts w:ascii="Titillium" w:hAnsi="Titillium"/>
          <w:i/>
          <w:sz w:val="18"/>
          <w:szCs w:val="18"/>
        </w:rPr>
        <w:t>... [indicare il metodo di calcolo prescelto,].</w:t>
      </w:r>
    </w:p>
    <w:p w14:paraId="462B8629" w14:textId="77777777" w:rsidR="00276DF7" w:rsidRPr="00436E4D" w:rsidRDefault="00276DF7" w:rsidP="00276DF7">
      <w:pPr>
        <w:shd w:val="clear" w:color="auto" w:fill="F2F2F2" w:themeFill="background1" w:themeFillShade="F2"/>
        <w:spacing w:before="120" w:after="60"/>
      </w:pPr>
      <w:r w:rsidRPr="00436E4D">
        <w:rPr>
          <w:rFonts w:ascii="Titillium" w:hAnsi="Titillium"/>
          <w:b/>
          <w:i/>
          <w:sz w:val="18"/>
          <w:szCs w:val="18"/>
        </w:rPr>
        <w:t>[Facoltativo: I riparametrazione]</w:t>
      </w:r>
      <w:r w:rsidRPr="00436E4D">
        <w:rPr>
          <w:rFonts w:ascii="Titillium" w:hAnsi="Titillium"/>
          <w:sz w:val="18"/>
          <w:szCs w:val="18"/>
        </w:rPr>
        <w:t xml:space="preserve"> Al fine di non alterare i pesi stabiliti tra i vari criteri, se nel singolo criterio nessun concorrente ottiene il punteggio massimo, tale punteggio viene riparametrato attribuendo all’offerta del concorrente che ha ottenuto il punteggio più alto per il criterio il punteggio massimo previsto e alle offerte degli altri concorrenti un punteggio proporzionale decrescente.</w:t>
      </w:r>
    </w:p>
    <w:p w14:paraId="0EC69F8D" w14:textId="77777777" w:rsidR="00276DF7" w:rsidRDefault="00276DF7" w:rsidP="00276DF7">
      <w:pPr>
        <w:shd w:val="clear" w:color="auto" w:fill="F2F2F2" w:themeFill="background1" w:themeFillShade="F2"/>
        <w:spacing w:before="120" w:after="60"/>
      </w:pPr>
      <w:r w:rsidRPr="00436E4D">
        <w:rPr>
          <w:rFonts w:ascii="Titillium" w:hAnsi="Titillium"/>
          <w:b/>
          <w:i/>
          <w:sz w:val="18"/>
          <w:szCs w:val="18"/>
        </w:rPr>
        <w:t xml:space="preserve">[Facoltativo: II riparametrazione] </w:t>
      </w:r>
      <w:r w:rsidRPr="00436E4D">
        <w:rPr>
          <w:rFonts w:ascii="Titillium" w:hAnsi="Titillium"/>
          <w:sz w:val="18"/>
          <w:szCs w:val="18"/>
        </w:rPr>
        <w:t>Al fine di non alterare i pesi stabiliti tra i vari criteri, se nel punteggio per l’offerta tecnica complessiva nessun concorrente ottiene il punteggio massimo, tale punteggio viene nuovamente riparametrato attribuendo all’offerta del concorrente che ha ottenuto il punteggio complessivo più alto per l’offerta tecnica il punteggio massimo previsto e alle offerte degli altri concorrenti un punteggio proporzionale decrescente.</w:t>
      </w:r>
    </w:p>
    <w:p w14:paraId="74E390BA" w14:textId="77777777" w:rsidR="00276DF7" w:rsidRDefault="00276DF7" w:rsidP="00276DF7">
      <w:pPr>
        <w:pStyle w:val="Default"/>
        <w:shd w:val="clear" w:color="auto" w:fill="F2F2F2" w:themeFill="background1" w:themeFillShade="F2"/>
        <w:spacing w:before="60" w:after="60"/>
        <w:rPr>
          <w:rFonts w:ascii="Titillium" w:hAnsi="Titillium" w:cs="Garamond"/>
          <w:sz w:val="18"/>
          <w:szCs w:val="18"/>
        </w:rPr>
      </w:pPr>
    </w:p>
    <w:p w14:paraId="59342BBA" w14:textId="77777777" w:rsidR="00276DF7" w:rsidRDefault="00276DF7" w:rsidP="00276DF7">
      <w:pPr>
        <w:pStyle w:val="Titolo2"/>
        <w:numPr>
          <w:ilvl w:val="0"/>
          <w:numId w:val="4"/>
        </w:numPr>
        <w:shd w:val="clear" w:color="auto" w:fill="F2F2F2" w:themeFill="background1" w:themeFillShade="F2"/>
        <w:tabs>
          <w:tab w:val="left" w:pos="6521"/>
        </w:tabs>
        <w:spacing w:before="60" w:after="60"/>
        <w:ind w:left="357" w:hanging="357"/>
        <w:rPr>
          <w:rFonts w:ascii="Titillium" w:hAnsi="Titillium"/>
          <w:sz w:val="18"/>
          <w:szCs w:val="18"/>
          <w:lang w:val="it-IT"/>
        </w:rPr>
      </w:pPr>
      <w:bookmarkStart w:id="1995" w:name="_Toc4034712801"/>
      <w:bookmarkStart w:id="1996" w:name="_Toc3974228731"/>
      <w:bookmarkStart w:id="1997" w:name="_Toc3973468321"/>
      <w:bookmarkStart w:id="1998" w:name="_Toc3937069171"/>
      <w:bookmarkStart w:id="1999" w:name="_Toc3937008441"/>
      <w:bookmarkStart w:id="2000" w:name="_Toc3932831851"/>
      <w:bookmarkStart w:id="2001" w:name="_Toc3932726691"/>
      <w:bookmarkStart w:id="2002" w:name="_Toc3932726111"/>
      <w:bookmarkStart w:id="2003" w:name="_Toc3931878551"/>
      <w:bookmarkStart w:id="2004" w:name="_Toc3931121381"/>
      <w:bookmarkStart w:id="2005" w:name="_Toc3931105741"/>
      <w:bookmarkStart w:id="2006" w:name="_Toc3925775071"/>
      <w:bookmarkStart w:id="2007" w:name="_Toc3910360661"/>
      <w:bookmarkStart w:id="2008" w:name="_Toc3910359931"/>
      <w:bookmarkStart w:id="2009" w:name="_Toc3805018801"/>
      <w:bookmarkStart w:id="2010" w:name="_Toc485218331"/>
      <w:bookmarkStart w:id="2011" w:name="_Toc484688895"/>
      <w:bookmarkStart w:id="2012" w:name="_Toc484688340"/>
      <w:bookmarkStart w:id="2013" w:name="_Toc484605471"/>
      <w:bookmarkStart w:id="2014" w:name="_Toc484605347"/>
      <w:bookmarkStart w:id="2015" w:name="_Toc484526628"/>
      <w:bookmarkStart w:id="2016" w:name="_Toc484449133"/>
      <w:bookmarkStart w:id="2017" w:name="_Toc484449009"/>
      <w:bookmarkStart w:id="2018" w:name="_Toc484448885"/>
      <w:bookmarkStart w:id="2019" w:name="_Toc484448762"/>
      <w:bookmarkStart w:id="2020" w:name="_Toc484448638"/>
      <w:bookmarkStart w:id="2021" w:name="_Toc484448514"/>
      <w:bookmarkStart w:id="2022" w:name="_Toc484448390"/>
      <w:bookmarkStart w:id="2023" w:name="_Toc484448266"/>
      <w:bookmarkStart w:id="2024" w:name="_Toc484448142"/>
      <w:bookmarkStart w:id="2025" w:name="_Toc484440482"/>
      <w:bookmarkStart w:id="2026" w:name="_Toc484440122"/>
      <w:bookmarkStart w:id="2027" w:name="_Toc484439998"/>
      <w:bookmarkStart w:id="2028" w:name="_Toc484439875"/>
      <w:bookmarkStart w:id="2029" w:name="_Toc484438955"/>
      <w:bookmarkStart w:id="2030" w:name="_Toc484438831"/>
      <w:bookmarkStart w:id="2031" w:name="_Toc484438707"/>
      <w:bookmarkStart w:id="2032" w:name="_Toc484429132"/>
      <w:bookmarkStart w:id="2033" w:name="_Toc484428962"/>
      <w:bookmarkStart w:id="2034" w:name="_Toc484097788"/>
      <w:bookmarkStart w:id="2035" w:name="_Toc484011714"/>
      <w:bookmarkStart w:id="2036" w:name="_Toc484011239"/>
      <w:bookmarkStart w:id="2037" w:name="_Toc484011117"/>
      <w:bookmarkStart w:id="2038" w:name="_Toc484010995"/>
      <w:bookmarkStart w:id="2039" w:name="_Toc484010871"/>
      <w:bookmarkStart w:id="2040" w:name="_Toc484010749"/>
      <w:bookmarkStart w:id="2041" w:name="_Toc483906999"/>
      <w:bookmarkStart w:id="2042" w:name="_Toc483571622"/>
      <w:bookmarkStart w:id="2043" w:name="_Toc483571501"/>
      <w:bookmarkStart w:id="2044" w:name="_Toc483474071"/>
      <w:bookmarkStart w:id="2045" w:name="_Toc483401275"/>
      <w:bookmarkStart w:id="2046" w:name="_Toc483325797"/>
      <w:bookmarkStart w:id="2047" w:name="_Toc483316494"/>
      <w:bookmarkStart w:id="2048" w:name="_Toc483316363"/>
      <w:bookmarkStart w:id="2049" w:name="_Toc483316231"/>
      <w:bookmarkStart w:id="2050" w:name="_Toc483316026"/>
      <w:bookmarkStart w:id="2051" w:name="_Toc483302405"/>
      <w:bookmarkStart w:id="2052" w:name="_Toc483233688"/>
      <w:bookmarkStart w:id="2053" w:name="_Toc482979728"/>
      <w:bookmarkStart w:id="2054" w:name="_Toc482979630"/>
      <w:bookmarkStart w:id="2055" w:name="_Toc482979532"/>
      <w:bookmarkStart w:id="2056" w:name="_Toc482979424"/>
      <w:bookmarkStart w:id="2057" w:name="_Toc482979315"/>
      <w:bookmarkStart w:id="2058" w:name="_Toc482979206"/>
      <w:bookmarkStart w:id="2059" w:name="_Toc482979095"/>
      <w:bookmarkStart w:id="2060" w:name="_Toc482978987"/>
      <w:bookmarkStart w:id="2061" w:name="_Toc482978878"/>
      <w:bookmarkStart w:id="2062" w:name="_Toc482959759"/>
      <w:bookmarkStart w:id="2063" w:name="_Toc482959649"/>
      <w:bookmarkStart w:id="2064" w:name="_Toc482959539"/>
      <w:bookmarkStart w:id="2065" w:name="_Toc482712751"/>
      <w:bookmarkStart w:id="2066" w:name="_Toc482641305"/>
      <w:bookmarkStart w:id="2067" w:name="_Toc482633128"/>
      <w:bookmarkStart w:id="2068" w:name="_Toc482352287"/>
      <w:bookmarkStart w:id="2069" w:name="_Toc482352197"/>
      <w:bookmarkStart w:id="2070" w:name="_Toc482352107"/>
      <w:bookmarkStart w:id="2071" w:name="_Toc482352017"/>
      <w:bookmarkStart w:id="2072" w:name="_Toc482102153"/>
      <w:bookmarkStart w:id="2073" w:name="_Toc482102059"/>
      <w:bookmarkStart w:id="2074" w:name="_Toc482101964"/>
      <w:bookmarkStart w:id="2075" w:name="_Toc482101869"/>
      <w:bookmarkStart w:id="2076" w:name="_Toc482101776"/>
      <w:bookmarkStart w:id="2077" w:name="_Toc482101601"/>
      <w:bookmarkStart w:id="2078" w:name="_Toc482101486"/>
      <w:bookmarkStart w:id="2079" w:name="_Toc482101349"/>
      <w:bookmarkStart w:id="2080" w:name="_Toc482100923"/>
      <w:bookmarkStart w:id="2081" w:name="_Toc482100766"/>
      <w:bookmarkStart w:id="2082" w:name="_Toc482099049"/>
      <w:bookmarkStart w:id="2083" w:name="_Toc482097947"/>
      <w:bookmarkStart w:id="2084" w:name="_Toc482097755"/>
      <w:bookmarkStart w:id="2085" w:name="_Toc482097666"/>
      <w:bookmarkStart w:id="2086" w:name="_Toc482097577"/>
      <w:bookmarkStart w:id="2087" w:name="_Toc482025753"/>
      <w:bookmarkStart w:id="2088" w:name="_Toc481772380"/>
      <w:bookmarkStart w:id="2089" w:name="_Toc481772316"/>
      <w:bookmarkStart w:id="2090" w:name="_Toc481511317"/>
      <w:bookmarkStart w:id="2091" w:name="_Toc481511273"/>
      <w:bookmarkStart w:id="2092" w:name="_Toc481511213"/>
      <w:bookmarkStart w:id="2093" w:name="_Toc481511168"/>
      <w:bookmarkStart w:id="2094" w:name="_Toc481511110"/>
      <w:bookmarkStart w:id="2095" w:name="_Toc481165531"/>
      <w:bookmarkStart w:id="2096" w:name="_Toc481165222"/>
      <w:bookmarkStart w:id="2097" w:name="_Toc481160021"/>
      <w:bookmarkStart w:id="2098" w:name="_Toc481159876"/>
      <w:bookmarkStart w:id="2099" w:name="_Toc481159824"/>
      <w:bookmarkStart w:id="2100" w:name="_Toc481159767"/>
      <w:bookmarkStart w:id="2101" w:name="_Toc481159721"/>
      <w:bookmarkStart w:id="2102" w:name="_Toc481159382"/>
      <w:bookmarkStart w:id="2103" w:name="_Toc481158988"/>
      <w:bookmarkStart w:id="2104" w:name="_Toc4164233721"/>
      <w:bookmarkStart w:id="2105" w:name="_Toc4067541891"/>
      <w:bookmarkStart w:id="2106" w:name="_Toc4060583881"/>
      <w:bookmarkStart w:id="2107" w:name="_Ref129797347"/>
      <w:bookmarkStart w:id="2108" w:name="_Toc139549449"/>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r>
        <w:rPr>
          <w:rFonts w:ascii="Titillium" w:hAnsi="Titillium"/>
          <w:sz w:val="18"/>
          <w:szCs w:val="18"/>
          <w:lang w:val="it-IT"/>
        </w:rPr>
        <w:t>COMMISSIONE GIUDICATRICE</w:t>
      </w:r>
      <w:bookmarkEnd w:id="2107"/>
      <w:bookmarkEnd w:id="2108"/>
    </w:p>
    <w:p w14:paraId="417E57A9" w14:textId="77777777" w:rsidR="00276DF7" w:rsidRDefault="00276DF7" w:rsidP="00276DF7">
      <w:pPr>
        <w:shd w:val="clear" w:color="auto" w:fill="F2F2F2" w:themeFill="background1" w:themeFillShade="F2"/>
        <w:tabs>
          <w:tab w:val="left" w:pos="6521"/>
        </w:tabs>
        <w:spacing w:before="120" w:after="60"/>
      </w:pPr>
      <w:r>
        <w:rPr>
          <w:rFonts w:ascii="Titillium" w:hAnsi="Titillium" w:cs="Calibri"/>
          <w:sz w:val="18"/>
          <w:szCs w:val="18"/>
        </w:rPr>
        <w:t>La commissione giudicatrice è nominata dopo la scadenza del termine per la presentazione delle offerte ed è composta da un numero dispari pari a n. ... [</w:t>
      </w:r>
      <w:r>
        <w:rPr>
          <w:rFonts w:ascii="Titillium" w:hAnsi="Titillium" w:cs="Calibri"/>
          <w:i/>
          <w:sz w:val="18"/>
          <w:szCs w:val="18"/>
        </w:rPr>
        <w:t>min. 3 max 5</w:t>
      </w:r>
      <w:r>
        <w:rPr>
          <w:rFonts w:ascii="Titillium" w:hAnsi="Titillium" w:cs="Calibri"/>
          <w:sz w:val="18"/>
          <w:szCs w:val="18"/>
        </w:rPr>
        <w:t xml:space="preserve">] membri, esperti nello specifico settore cui si riferisce l’oggetto del contratto. In capo ai commissari non devono sussistere cause ostative alla nomina ai sensi </w:t>
      </w:r>
      <w:r w:rsidRPr="00992D8F">
        <w:rPr>
          <w:rFonts w:ascii="Titillium" w:hAnsi="Titillium" w:cs="Calibri"/>
          <w:sz w:val="18"/>
          <w:szCs w:val="18"/>
        </w:rPr>
        <w:t>dell’articolo 93 comma 5 del Codice. A tal fine viene richiesta, prima del conferimento dell’incarico, apposita dichiarazione.</w:t>
      </w:r>
      <w:r>
        <w:rPr>
          <w:rFonts w:ascii="Titillium" w:hAnsi="Titillium" w:cs="Calibri"/>
          <w:sz w:val="18"/>
        </w:rPr>
        <w:t xml:space="preserve"> </w:t>
      </w:r>
    </w:p>
    <w:p w14:paraId="26F5C71D" w14:textId="77777777" w:rsidR="00276DF7" w:rsidRDefault="00276DF7" w:rsidP="00276DF7">
      <w:pPr>
        <w:pStyle w:val="Default"/>
        <w:shd w:val="clear" w:color="auto" w:fill="F2F2F2" w:themeFill="background1" w:themeFillShade="F2"/>
        <w:spacing w:before="60" w:after="60"/>
      </w:pPr>
      <w:r w:rsidRPr="007F087A">
        <w:rPr>
          <w:rFonts w:ascii="Titillium" w:hAnsi="Titillium" w:cs="Garamond"/>
          <w:sz w:val="18"/>
          <w:szCs w:val="18"/>
        </w:rPr>
        <w:t xml:space="preserve">La composizione della commissione giudicatrice e i curricula dei componenti sono pubblicati sul sito </w:t>
      </w:r>
      <w:r>
        <w:rPr>
          <w:rFonts w:ascii="Titillium" w:hAnsi="Titillium" w:cs="Garamond"/>
          <w:sz w:val="18"/>
          <w:szCs w:val="18"/>
        </w:rPr>
        <w:t xml:space="preserve">istituzionale </w:t>
      </w:r>
      <w:r w:rsidRPr="007F087A">
        <w:rPr>
          <w:rFonts w:ascii="Titillium" w:hAnsi="Titillium" w:cs="Garamond"/>
          <w:sz w:val="18"/>
          <w:szCs w:val="18"/>
        </w:rPr>
        <w:t>nella sezione “Amministrazione trasparente”.</w:t>
      </w:r>
    </w:p>
    <w:p w14:paraId="3DE45969"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992D8F">
        <w:rPr>
          <w:rFonts w:ascii="Titillium" w:hAnsi="Titillium" w:cs="Calibri"/>
          <w:sz w:val="18"/>
          <w:szCs w:val="18"/>
        </w:rPr>
        <w:t>La commissione giudicatrice è responsabile della valutazione delle offerte tecniche ed economiche dei concorrenti, può riunirsi con modalità telematiche che salvaguardino la riservatezza delle comunicazioni ed opera attraverso la piattaforma di approvvigionamento digitale.</w:t>
      </w:r>
      <w:r w:rsidRPr="007F087A">
        <w:rPr>
          <w:rFonts w:ascii="Titillium" w:hAnsi="Titillium" w:cs="Calibri"/>
          <w:sz w:val="18"/>
          <w:szCs w:val="18"/>
        </w:rPr>
        <w:t xml:space="preserve"> </w:t>
      </w:r>
    </w:p>
    <w:p w14:paraId="7C46DB9F"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331144">
        <w:rPr>
          <w:rFonts w:ascii="Titillium" w:hAnsi="Titillium" w:cs="Calibri"/>
          <w:b/>
          <w:i/>
          <w:sz w:val="18"/>
          <w:szCs w:val="18"/>
        </w:rPr>
        <w:t>[Facoltativo]</w:t>
      </w:r>
      <w:r>
        <w:rPr>
          <w:rFonts w:ascii="Titillium" w:hAnsi="Titillium" w:cs="Calibri"/>
          <w:sz w:val="18"/>
          <w:szCs w:val="18"/>
        </w:rPr>
        <w:t xml:space="preserve"> Il RUP si avvale dell’ausilio della commissione giudicatrice </w:t>
      </w:r>
      <w:r w:rsidRPr="0013560D">
        <w:rPr>
          <w:rFonts w:ascii="Titillium" w:hAnsi="Titillium" w:cs="Calibri"/>
          <w:sz w:val="18"/>
          <w:szCs w:val="18"/>
        </w:rPr>
        <w:t>ai fini della verifica della documentazione amministrativa e dell’anomalia delle offerte.</w:t>
      </w:r>
    </w:p>
    <w:p w14:paraId="456451BB" w14:textId="77777777" w:rsidR="00276DF7" w:rsidRDefault="00276DF7" w:rsidP="00276DF7">
      <w:pPr>
        <w:shd w:val="clear" w:color="auto" w:fill="F2F2F2" w:themeFill="background1" w:themeFillShade="F2"/>
        <w:tabs>
          <w:tab w:val="left" w:pos="851"/>
        </w:tabs>
        <w:spacing w:before="60" w:after="60"/>
        <w:rPr>
          <w:rFonts w:ascii="Titillium" w:hAnsi="Titillium" w:cs="Calibri"/>
        </w:rPr>
      </w:pPr>
    </w:p>
    <w:p w14:paraId="34A04D39" w14:textId="77777777" w:rsidR="00276DF7" w:rsidRDefault="00276DF7" w:rsidP="00276DF7">
      <w:pPr>
        <w:pStyle w:val="Titolo2"/>
        <w:numPr>
          <w:ilvl w:val="0"/>
          <w:numId w:val="4"/>
        </w:numPr>
        <w:shd w:val="clear" w:color="auto" w:fill="F2F2F2" w:themeFill="background1" w:themeFillShade="F2"/>
        <w:spacing w:before="60" w:after="60"/>
        <w:ind w:left="357" w:hanging="357"/>
      </w:pPr>
      <w:bookmarkStart w:id="2109" w:name="_Ref130243943"/>
      <w:bookmarkStart w:id="2110" w:name="_Toc139549450"/>
      <w:r>
        <w:rPr>
          <w:rFonts w:ascii="Titillium" w:hAnsi="Titillium"/>
          <w:sz w:val="18"/>
          <w:szCs w:val="18"/>
          <w:lang w:val="it-IT"/>
        </w:rPr>
        <w:t>SVOLGIMENTO DELLE OPERAZIONI DI GARA</w:t>
      </w:r>
      <w:bookmarkEnd w:id="2109"/>
      <w:bookmarkEnd w:id="2110"/>
      <w:r>
        <w:rPr>
          <w:rFonts w:ascii="Titillium" w:hAnsi="Titillium"/>
          <w:sz w:val="18"/>
          <w:szCs w:val="18"/>
          <w:lang w:val="it-IT"/>
        </w:rPr>
        <w:t xml:space="preserve"> </w:t>
      </w:r>
    </w:p>
    <w:p w14:paraId="04BF58D4" w14:textId="77777777" w:rsidR="00276DF7" w:rsidRPr="0013560D" w:rsidRDefault="00276DF7" w:rsidP="00276DF7">
      <w:pPr>
        <w:shd w:val="clear" w:color="auto" w:fill="F2F2F2" w:themeFill="background1" w:themeFillShade="F2"/>
        <w:spacing w:before="60" w:after="60"/>
        <w:rPr>
          <w:rFonts w:ascii="Titillium" w:hAnsi="Titillium" w:cs="Calibri"/>
          <w:sz w:val="18"/>
          <w:szCs w:val="18"/>
        </w:rPr>
      </w:pPr>
      <w:r w:rsidRPr="0013560D">
        <w:rPr>
          <w:rFonts w:ascii="Titillium" w:hAnsi="Titillium" w:cs="Calibri"/>
          <w:sz w:val="18"/>
          <w:szCs w:val="18"/>
        </w:rPr>
        <w:t xml:space="preserve">La prima </w:t>
      </w:r>
      <w:r>
        <w:rPr>
          <w:rFonts w:ascii="Titillium" w:hAnsi="Titillium" w:cs="Calibri"/>
          <w:sz w:val="18"/>
          <w:szCs w:val="18"/>
        </w:rPr>
        <w:t>sessione</w:t>
      </w:r>
      <w:r w:rsidRPr="0013560D">
        <w:rPr>
          <w:rFonts w:ascii="Titillium" w:hAnsi="Titillium" w:cs="Calibri"/>
          <w:sz w:val="18"/>
          <w:szCs w:val="18"/>
        </w:rPr>
        <w:t xml:space="preserve"> ha luogo il giorno … </w:t>
      </w:r>
      <w:r w:rsidRPr="0013560D">
        <w:rPr>
          <w:rFonts w:ascii="Titillium" w:hAnsi="Titillium" w:cs="Calibri"/>
          <w:i/>
          <w:sz w:val="18"/>
          <w:szCs w:val="18"/>
        </w:rPr>
        <w:t>[indicare il giorno]</w:t>
      </w:r>
      <w:r w:rsidRPr="0013560D">
        <w:rPr>
          <w:rFonts w:ascii="Titillium" w:hAnsi="Titillium" w:cs="Calibri"/>
          <w:sz w:val="18"/>
          <w:szCs w:val="18"/>
        </w:rPr>
        <w:t xml:space="preserve">, alle ore … </w:t>
      </w:r>
      <w:r w:rsidRPr="0013560D">
        <w:rPr>
          <w:rFonts w:ascii="Titillium" w:hAnsi="Titillium" w:cs="Calibri"/>
          <w:i/>
          <w:sz w:val="18"/>
          <w:szCs w:val="18"/>
        </w:rPr>
        <w:t>[indicare l’ora]</w:t>
      </w:r>
      <w:r w:rsidRPr="0013560D">
        <w:rPr>
          <w:rFonts w:ascii="Titillium" w:hAnsi="Titillium" w:cs="Calibri"/>
          <w:sz w:val="18"/>
          <w:szCs w:val="18"/>
        </w:rPr>
        <w:t>.</w:t>
      </w:r>
    </w:p>
    <w:p w14:paraId="3BBF7DAE" w14:textId="77777777" w:rsidR="00276DF7" w:rsidRPr="0013560D" w:rsidRDefault="00276DF7" w:rsidP="00276DF7">
      <w:pPr>
        <w:shd w:val="clear" w:color="auto" w:fill="F2F2F2" w:themeFill="background1" w:themeFillShade="F2"/>
        <w:spacing w:before="60" w:after="60"/>
        <w:rPr>
          <w:rFonts w:ascii="Titillium" w:hAnsi="Titillium" w:cs="Calibri"/>
          <w:sz w:val="18"/>
          <w:szCs w:val="18"/>
        </w:rPr>
      </w:pPr>
      <w:r w:rsidRPr="0013560D">
        <w:rPr>
          <w:rFonts w:ascii="Titillium" w:hAnsi="Titillium" w:cs="Calibri"/>
          <w:sz w:val="18"/>
          <w:szCs w:val="18"/>
        </w:rPr>
        <w:t xml:space="preserve">La Piattaforma consente </w:t>
      </w:r>
      <w:r>
        <w:rPr>
          <w:rFonts w:ascii="Titillium" w:hAnsi="Titillium" w:cs="Calibri"/>
          <w:sz w:val="18"/>
          <w:szCs w:val="18"/>
        </w:rPr>
        <w:t>lo svolgimento</w:t>
      </w:r>
      <w:r w:rsidRPr="0013560D">
        <w:rPr>
          <w:rFonts w:ascii="Titillium" w:hAnsi="Titillium" w:cs="Calibri"/>
          <w:sz w:val="18"/>
          <w:szCs w:val="18"/>
        </w:rPr>
        <w:t xml:space="preserve"> delle </w:t>
      </w:r>
      <w:r>
        <w:rPr>
          <w:rFonts w:ascii="Titillium" w:hAnsi="Titillium" w:cs="Calibri"/>
          <w:sz w:val="18"/>
          <w:szCs w:val="18"/>
        </w:rPr>
        <w:t>sessioni</w:t>
      </w:r>
      <w:r w:rsidRPr="0013560D">
        <w:rPr>
          <w:rFonts w:ascii="Titillium" w:hAnsi="Titillium" w:cs="Calibri"/>
          <w:sz w:val="18"/>
          <w:szCs w:val="18"/>
        </w:rPr>
        <w:t xml:space="preserve"> di gara preordinate all’</w:t>
      </w:r>
      <w:r>
        <w:rPr>
          <w:rFonts w:ascii="Titillium" w:hAnsi="Titillium" w:cs="Calibri"/>
          <w:sz w:val="18"/>
          <w:szCs w:val="18"/>
        </w:rPr>
        <w:t>esame</w:t>
      </w:r>
      <w:r w:rsidRPr="0013560D">
        <w:rPr>
          <w:rFonts w:ascii="Titillium" w:hAnsi="Titillium" w:cs="Calibri"/>
          <w:sz w:val="18"/>
          <w:szCs w:val="18"/>
        </w:rPr>
        <w:t>:</w:t>
      </w:r>
    </w:p>
    <w:p w14:paraId="3C454CAF" w14:textId="77777777" w:rsidR="00276DF7" w:rsidRPr="0013560D" w:rsidRDefault="00276DF7" w:rsidP="00276DF7">
      <w:pPr>
        <w:shd w:val="clear" w:color="auto" w:fill="F2F2F2" w:themeFill="background1" w:themeFillShade="F2"/>
        <w:spacing w:before="60" w:after="60"/>
        <w:rPr>
          <w:rFonts w:ascii="Titillium" w:hAnsi="Titillium" w:cs="Calibri"/>
          <w:sz w:val="18"/>
          <w:szCs w:val="18"/>
        </w:rPr>
      </w:pPr>
      <w:r w:rsidRPr="0013560D">
        <w:rPr>
          <w:rFonts w:ascii="Titillium" w:hAnsi="Titillium" w:cs="Calibri"/>
          <w:sz w:val="18"/>
          <w:szCs w:val="18"/>
        </w:rPr>
        <w:t>•</w:t>
      </w:r>
      <w:r w:rsidRPr="0013560D">
        <w:rPr>
          <w:rFonts w:ascii="Titillium" w:hAnsi="Titillium" w:cs="Calibri"/>
          <w:sz w:val="18"/>
          <w:szCs w:val="18"/>
        </w:rPr>
        <w:tab/>
        <w:t>della documentazione amministrativa;</w:t>
      </w:r>
    </w:p>
    <w:p w14:paraId="499BB28F" w14:textId="77777777" w:rsidR="00276DF7" w:rsidRPr="0013560D" w:rsidRDefault="00276DF7" w:rsidP="00276DF7">
      <w:pPr>
        <w:shd w:val="clear" w:color="auto" w:fill="F2F2F2" w:themeFill="background1" w:themeFillShade="F2"/>
        <w:spacing w:before="60" w:after="60"/>
        <w:rPr>
          <w:rFonts w:ascii="Titillium" w:hAnsi="Titillium" w:cs="Calibri"/>
          <w:sz w:val="18"/>
          <w:szCs w:val="18"/>
        </w:rPr>
      </w:pPr>
      <w:r w:rsidRPr="0013560D">
        <w:rPr>
          <w:rFonts w:ascii="Titillium" w:hAnsi="Titillium" w:cs="Calibri"/>
          <w:sz w:val="18"/>
          <w:szCs w:val="18"/>
        </w:rPr>
        <w:t>•</w:t>
      </w:r>
      <w:r w:rsidRPr="0013560D">
        <w:rPr>
          <w:rFonts w:ascii="Titillium" w:hAnsi="Titillium" w:cs="Calibri"/>
          <w:sz w:val="18"/>
          <w:szCs w:val="18"/>
        </w:rPr>
        <w:tab/>
        <w:t>delle offerte tecniche;</w:t>
      </w:r>
    </w:p>
    <w:p w14:paraId="751E01BF" w14:textId="77777777" w:rsidR="00276DF7" w:rsidRPr="0013560D" w:rsidRDefault="00276DF7" w:rsidP="00276DF7">
      <w:pPr>
        <w:shd w:val="clear" w:color="auto" w:fill="F2F2F2" w:themeFill="background1" w:themeFillShade="F2"/>
        <w:spacing w:before="60" w:after="60"/>
        <w:rPr>
          <w:rFonts w:ascii="Titillium" w:hAnsi="Titillium" w:cs="Calibri"/>
          <w:sz w:val="18"/>
          <w:szCs w:val="18"/>
        </w:rPr>
      </w:pPr>
      <w:r w:rsidRPr="0013560D">
        <w:rPr>
          <w:rFonts w:ascii="Titillium" w:hAnsi="Titillium" w:cs="Calibri"/>
          <w:sz w:val="18"/>
          <w:szCs w:val="18"/>
        </w:rPr>
        <w:t>•</w:t>
      </w:r>
      <w:r w:rsidRPr="0013560D">
        <w:rPr>
          <w:rFonts w:ascii="Titillium" w:hAnsi="Titillium" w:cs="Calibri"/>
          <w:sz w:val="18"/>
          <w:szCs w:val="18"/>
        </w:rPr>
        <w:tab/>
        <w:t>delle offerte economiche</w:t>
      </w:r>
      <w:r>
        <w:rPr>
          <w:rFonts w:ascii="Titillium" w:hAnsi="Titillium" w:cs="Calibri"/>
          <w:sz w:val="18"/>
          <w:szCs w:val="18"/>
        </w:rPr>
        <w:t>.</w:t>
      </w:r>
    </w:p>
    <w:p w14:paraId="1B35E883"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La piattaforma garantisce il rispetto delle disposizioni del codice in materia di </w:t>
      </w:r>
      <w:r w:rsidRPr="0013560D">
        <w:rPr>
          <w:rFonts w:ascii="Titillium" w:hAnsi="Titillium" w:cs="Calibri"/>
          <w:sz w:val="18"/>
          <w:szCs w:val="18"/>
        </w:rPr>
        <w:t>riservatezza delle</w:t>
      </w:r>
      <w:r>
        <w:rPr>
          <w:rFonts w:ascii="Titillium" w:hAnsi="Titillium" w:cs="Calibri"/>
          <w:sz w:val="18"/>
          <w:szCs w:val="18"/>
        </w:rPr>
        <w:t xml:space="preserve"> operazioni e delle informazioni relative alla procedura di gara, nonché il rispetto dei principi di trasparenza.</w:t>
      </w:r>
    </w:p>
    <w:p w14:paraId="7E25A142" w14:textId="77777777" w:rsidR="00276DF7" w:rsidRDefault="00276DF7" w:rsidP="00276DF7">
      <w:pPr>
        <w:shd w:val="clear" w:color="auto" w:fill="F2F2F2" w:themeFill="background1" w:themeFillShade="F2"/>
        <w:spacing w:before="60" w:after="60"/>
        <w:rPr>
          <w:rFonts w:ascii="Titillium" w:eastAsia="SimSun" w:hAnsi="Titillium" w:cs="Calibri"/>
          <w:sz w:val="18"/>
          <w:szCs w:val="18"/>
        </w:rPr>
      </w:pPr>
      <w:r>
        <w:rPr>
          <w:rFonts w:ascii="Titillium" w:eastAsia="SimSun" w:hAnsi="Titillium" w:cs="Calibri"/>
          <w:b/>
          <w:i/>
          <w:sz w:val="18"/>
          <w:szCs w:val="18"/>
        </w:rPr>
        <w:t xml:space="preserve">[Facoltativo] </w:t>
      </w:r>
      <w:r>
        <w:rPr>
          <w:rFonts w:ascii="Titillium" w:eastAsia="SimSun" w:hAnsi="Titillium" w:cs="Calibri"/>
          <w:b/>
          <w:iCs/>
          <w:sz w:val="18"/>
          <w:szCs w:val="18"/>
        </w:rPr>
        <w:t>Inversione procedimentale:</w:t>
      </w:r>
      <w:r>
        <w:rPr>
          <w:rFonts w:ascii="Titillium" w:eastAsia="SimSun" w:hAnsi="Titillium" w:cs="Calibri"/>
          <w:sz w:val="18"/>
          <w:szCs w:val="18"/>
        </w:rPr>
        <w:t xml:space="preserve"> la stazione appaltante ha stabilito di ricorrere all’inversione procedimentale </w:t>
      </w:r>
      <w:r w:rsidRPr="00F810E5">
        <w:rPr>
          <w:rFonts w:ascii="Titillium" w:eastAsia="SimSun" w:hAnsi="Titillium" w:cs="Calibri"/>
          <w:i/>
          <w:iCs/>
          <w:sz w:val="18"/>
          <w:szCs w:val="18"/>
        </w:rPr>
        <w:t xml:space="preserve">[o, in alternativa] </w:t>
      </w:r>
      <w:r w:rsidRPr="00F810E5">
        <w:rPr>
          <w:rFonts w:ascii="Titillium" w:eastAsia="SimSun" w:hAnsi="Titillium" w:cs="Calibri"/>
          <w:sz w:val="18"/>
          <w:szCs w:val="18"/>
        </w:rPr>
        <w:t>la stazione appaltante si riserva la facoltà di ricorrere all’inversione procedimentale e di esercitare tale facoltà dopo la scadenza del termine per la presentazione delle offerte</w:t>
      </w:r>
      <w:r>
        <w:rPr>
          <w:rFonts w:ascii="Titillium" w:eastAsia="SimSun" w:hAnsi="Titillium" w:cs="Calibri"/>
          <w:sz w:val="18"/>
          <w:szCs w:val="18"/>
        </w:rPr>
        <w:t xml:space="preserve"> [</w:t>
      </w:r>
      <w:r w:rsidRPr="005342D9">
        <w:rPr>
          <w:rFonts w:ascii="Titillium" w:eastAsia="SimSun" w:hAnsi="Titillium" w:cs="Calibri"/>
          <w:i/>
          <w:sz w:val="18"/>
          <w:szCs w:val="18"/>
        </w:rPr>
        <w:t xml:space="preserve">indicare i casi in cui si </w:t>
      </w:r>
      <w:r w:rsidRPr="005342D9">
        <w:rPr>
          <w:rFonts w:ascii="Titillium" w:eastAsia="SimSun" w:hAnsi="Titillium" w:cs="Calibri"/>
          <w:i/>
          <w:sz w:val="18"/>
          <w:szCs w:val="18"/>
        </w:rPr>
        <w:lastRenderedPageBreak/>
        <w:t xml:space="preserve">eserciterà tale facoltà, ad esempio, </w:t>
      </w:r>
      <w:r>
        <w:rPr>
          <w:rFonts w:ascii="Titillium" w:eastAsia="SimSun" w:hAnsi="Titillium" w:cs="Calibri"/>
          <w:i/>
          <w:sz w:val="18"/>
          <w:szCs w:val="18"/>
        </w:rPr>
        <w:t>“</w:t>
      </w:r>
      <w:r w:rsidRPr="005342D9">
        <w:rPr>
          <w:rFonts w:ascii="Titillium" w:eastAsia="SimSun" w:hAnsi="Titillium" w:cs="Calibri"/>
          <w:i/>
          <w:sz w:val="18"/>
          <w:szCs w:val="18"/>
        </w:rPr>
        <w:t xml:space="preserve">nel caso in cui le offerte pervenute </w:t>
      </w:r>
      <w:r>
        <w:rPr>
          <w:rFonts w:ascii="Titillium" w:eastAsia="SimSun" w:hAnsi="Titillium" w:cs="Calibri"/>
          <w:i/>
          <w:sz w:val="18"/>
          <w:szCs w:val="18"/>
        </w:rPr>
        <w:t>siano superiori a ………” indicare il numero</w:t>
      </w:r>
      <w:r w:rsidRPr="0030072B">
        <w:rPr>
          <w:rFonts w:ascii="Titillium" w:eastAsia="SimSun" w:hAnsi="Titillium" w:cs="Calibri"/>
          <w:i/>
          <w:iCs/>
          <w:sz w:val="18"/>
          <w:szCs w:val="18"/>
        </w:rPr>
        <w:t>]</w:t>
      </w:r>
    </w:p>
    <w:p w14:paraId="04A85F9C" w14:textId="77777777" w:rsidR="00276DF7" w:rsidRDefault="00276DF7" w:rsidP="00276DF7">
      <w:pPr>
        <w:shd w:val="clear" w:color="auto" w:fill="F2F2F2" w:themeFill="background1" w:themeFillShade="F2"/>
        <w:spacing w:before="60" w:after="60"/>
        <w:rPr>
          <w:rFonts w:ascii="Titillium" w:eastAsia="SimSun" w:hAnsi="Titillium"/>
          <w:bCs/>
          <w:iCs/>
          <w:sz w:val="18"/>
          <w:szCs w:val="18"/>
        </w:rPr>
      </w:pPr>
      <w:r>
        <w:rPr>
          <w:rFonts w:ascii="Titillium" w:eastAsia="SimSun" w:hAnsi="Titillium" w:cs="Calibri"/>
          <w:sz w:val="18"/>
          <w:szCs w:val="18"/>
        </w:rPr>
        <w:t xml:space="preserve">Con l’inversione procedimentale si </w:t>
      </w:r>
      <w:r>
        <w:rPr>
          <w:rFonts w:ascii="Titillium" w:eastAsia="SimSun" w:hAnsi="Titillium"/>
          <w:bCs/>
          <w:iCs/>
          <w:sz w:val="18"/>
          <w:szCs w:val="18"/>
        </w:rPr>
        <w:t xml:space="preserve">procede prima alla valutazione dell’offerta tecnica, poi alla valutazione dell’offerta economica, di tutti i concorrenti, poi, alla </w:t>
      </w:r>
      <w:r w:rsidRPr="00C87621">
        <w:rPr>
          <w:rFonts w:ascii="Titillium" w:eastAsia="SimSun" w:hAnsi="Titillium"/>
          <w:bCs/>
          <w:iCs/>
          <w:sz w:val="18"/>
          <w:szCs w:val="18"/>
        </w:rPr>
        <w:t xml:space="preserve">verifica della documentazione amministrativa del </w:t>
      </w:r>
      <w:r w:rsidRPr="009C6573">
        <w:rPr>
          <w:rFonts w:ascii="Titillium" w:eastAsia="SimSun" w:hAnsi="Titillium"/>
          <w:bCs/>
          <w:iCs/>
          <w:sz w:val="18"/>
          <w:szCs w:val="18"/>
        </w:rPr>
        <w:t>concorrente primo in graduatoria</w:t>
      </w:r>
      <w:r>
        <w:rPr>
          <w:rFonts w:ascii="Titillium" w:eastAsia="SimSun" w:hAnsi="Titillium"/>
          <w:bCs/>
          <w:iCs/>
          <w:sz w:val="18"/>
          <w:szCs w:val="18"/>
        </w:rPr>
        <w:t xml:space="preserve">. </w:t>
      </w:r>
      <w:r w:rsidRPr="00922FC9">
        <w:rPr>
          <w:rFonts w:ascii="Titillium" w:eastAsia="SimSun" w:hAnsi="Titillium"/>
          <w:bCs/>
          <w:iCs/>
          <w:sz w:val="18"/>
          <w:szCs w:val="18"/>
        </w:rPr>
        <w:t>La verifica dell’anomalia avviene dopo le operazioni della commissione di gara</w:t>
      </w:r>
      <w:r>
        <w:rPr>
          <w:rFonts w:ascii="Titillium" w:eastAsia="SimSun" w:hAnsi="Titillium"/>
          <w:bCs/>
          <w:iCs/>
          <w:sz w:val="18"/>
          <w:szCs w:val="18"/>
        </w:rPr>
        <w:t xml:space="preserve"> </w:t>
      </w:r>
      <w:r w:rsidRPr="006405D2">
        <w:rPr>
          <w:rFonts w:ascii="Titillium" w:eastAsia="SimSun" w:hAnsi="Titillium"/>
          <w:b/>
          <w:bCs/>
          <w:i/>
          <w:sz w:val="18"/>
          <w:szCs w:val="18"/>
        </w:rPr>
        <w:t>[</w:t>
      </w:r>
      <w:r>
        <w:rPr>
          <w:rFonts w:ascii="Titillium" w:eastAsia="SimSun" w:hAnsi="Titillium"/>
          <w:b/>
          <w:bCs/>
          <w:i/>
          <w:sz w:val="18"/>
          <w:szCs w:val="18"/>
        </w:rPr>
        <w:t>i</w:t>
      </w:r>
      <w:r w:rsidRPr="006405D2">
        <w:rPr>
          <w:rFonts w:ascii="Titillium" w:eastAsia="SimSun" w:hAnsi="Titillium"/>
          <w:b/>
          <w:bCs/>
          <w:i/>
          <w:sz w:val="18"/>
          <w:szCs w:val="18"/>
        </w:rPr>
        <w:t>n alternativa]</w:t>
      </w:r>
      <w:r>
        <w:rPr>
          <w:rFonts w:ascii="Titillium" w:eastAsia="SimSun" w:hAnsi="Titillium"/>
          <w:bCs/>
          <w:iCs/>
          <w:sz w:val="18"/>
          <w:szCs w:val="18"/>
        </w:rPr>
        <w:t xml:space="preserve"> </w:t>
      </w:r>
      <w:r>
        <w:rPr>
          <w:rFonts w:ascii="Titillium" w:eastAsia="SimSun" w:hAnsi="Titillium" w:cs="Calibri"/>
          <w:sz w:val="18"/>
          <w:szCs w:val="18"/>
        </w:rPr>
        <w:t xml:space="preserve">Con l’inversione procedimentale si </w:t>
      </w:r>
      <w:r w:rsidRPr="004548C0">
        <w:rPr>
          <w:rFonts w:ascii="Titillium" w:eastAsia="SimSun" w:hAnsi="Titillium"/>
          <w:bCs/>
          <w:iCs/>
          <w:sz w:val="18"/>
          <w:szCs w:val="18"/>
        </w:rPr>
        <w:t xml:space="preserve">procede prima alla valutazione dell’offerta tecnica, poi alla valutazione dell’offerta economica di tutti i concorrenti, poi, alla </w:t>
      </w:r>
      <w:r>
        <w:rPr>
          <w:rFonts w:ascii="Titillium" w:eastAsia="SimSun" w:hAnsi="Titillium"/>
          <w:bCs/>
          <w:iCs/>
          <w:sz w:val="18"/>
          <w:szCs w:val="18"/>
        </w:rPr>
        <w:t xml:space="preserve">verifica dell’anomalia e, infine, alla </w:t>
      </w:r>
      <w:r w:rsidRPr="004548C0">
        <w:rPr>
          <w:rFonts w:ascii="Titillium" w:eastAsia="SimSun" w:hAnsi="Titillium"/>
          <w:bCs/>
          <w:iCs/>
          <w:sz w:val="18"/>
          <w:szCs w:val="18"/>
        </w:rPr>
        <w:t>verifica della documentazione amministrativa</w:t>
      </w:r>
      <w:r>
        <w:rPr>
          <w:rFonts w:ascii="Titillium" w:eastAsia="SimSun" w:hAnsi="Titillium"/>
          <w:bCs/>
          <w:iCs/>
          <w:sz w:val="18"/>
          <w:szCs w:val="18"/>
        </w:rPr>
        <w:t xml:space="preserve"> del concorrente primo in graduatoria </w:t>
      </w:r>
      <w:r w:rsidRPr="009C5604">
        <w:rPr>
          <w:rFonts w:ascii="Titillium" w:eastAsia="SimSun" w:hAnsi="Titillium"/>
          <w:b/>
          <w:i/>
          <w:sz w:val="18"/>
          <w:szCs w:val="18"/>
        </w:rPr>
        <w:t>[in alternativa]</w:t>
      </w:r>
      <w:r>
        <w:rPr>
          <w:rFonts w:ascii="Titillium" w:eastAsia="SimSun" w:hAnsi="Titillium"/>
          <w:bCs/>
          <w:iCs/>
          <w:sz w:val="18"/>
          <w:szCs w:val="18"/>
        </w:rPr>
        <w:t xml:space="preserve"> </w:t>
      </w:r>
      <w:r>
        <w:rPr>
          <w:rFonts w:ascii="Titillium" w:eastAsia="SimSun" w:hAnsi="Titillium" w:cs="Calibri"/>
          <w:sz w:val="18"/>
          <w:szCs w:val="18"/>
        </w:rPr>
        <w:t xml:space="preserve">Con l’inversione procedimentale si </w:t>
      </w:r>
      <w:r>
        <w:rPr>
          <w:rFonts w:ascii="Titillium" w:eastAsia="SimSun" w:hAnsi="Titillium"/>
          <w:bCs/>
          <w:iCs/>
          <w:sz w:val="18"/>
          <w:szCs w:val="18"/>
        </w:rPr>
        <w:t>procede prima alla valutazione dell’offerta tecnica, poi alla valutazione dell’offerta economica, di tutti i concorrenti, poi alla</w:t>
      </w:r>
      <w:r w:rsidRPr="004548C0">
        <w:rPr>
          <w:rFonts w:ascii="Titillium" w:eastAsia="SimSun" w:hAnsi="Titillium"/>
          <w:bCs/>
          <w:iCs/>
          <w:sz w:val="18"/>
          <w:szCs w:val="18"/>
        </w:rPr>
        <w:t xml:space="preserve"> </w:t>
      </w:r>
      <w:r>
        <w:rPr>
          <w:rFonts w:ascii="Titillium" w:eastAsia="SimSun" w:hAnsi="Titillium"/>
          <w:bCs/>
          <w:iCs/>
          <w:sz w:val="18"/>
          <w:szCs w:val="18"/>
        </w:rPr>
        <w:t>verifica dell’anomalia e, in parallelo, alla verifica della documentazione amministrativa del concorrente primo in graduatoria.</w:t>
      </w:r>
    </w:p>
    <w:p w14:paraId="4A689640" w14:textId="77777777" w:rsidR="00276DF7" w:rsidRDefault="00276DF7" w:rsidP="00276DF7">
      <w:pPr>
        <w:shd w:val="clear" w:color="auto" w:fill="F2F2F2" w:themeFill="background1" w:themeFillShade="F2"/>
        <w:spacing w:before="60" w:after="60"/>
      </w:pPr>
    </w:p>
    <w:p w14:paraId="2958E008" w14:textId="77777777" w:rsidR="00276DF7" w:rsidRDefault="00276DF7" w:rsidP="00276DF7">
      <w:pPr>
        <w:pStyle w:val="Titolo2"/>
        <w:numPr>
          <w:ilvl w:val="0"/>
          <w:numId w:val="4"/>
        </w:numPr>
        <w:shd w:val="clear" w:color="auto" w:fill="F2F2F2" w:themeFill="background1" w:themeFillShade="F2"/>
        <w:spacing w:before="60" w:after="60"/>
        <w:ind w:left="357" w:hanging="357"/>
        <w:rPr>
          <w:rFonts w:ascii="Titillium" w:hAnsi="Titillium"/>
          <w:sz w:val="18"/>
          <w:szCs w:val="18"/>
          <w:lang w:val="it-IT"/>
        </w:rPr>
      </w:pPr>
      <w:bookmarkStart w:id="2111" w:name="_Ref132303128"/>
      <w:bookmarkStart w:id="2112" w:name="_Toc139549451"/>
      <w:r>
        <w:rPr>
          <w:rFonts w:ascii="Titillium" w:hAnsi="Titillium"/>
          <w:sz w:val="18"/>
          <w:szCs w:val="18"/>
          <w:lang w:val="it-IT"/>
        </w:rPr>
        <w:t>VERIFICA DOCUMENTAZIONE AMMINISTRATIVA</w:t>
      </w:r>
      <w:bookmarkEnd w:id="2111"/>
      <w:bookmarkEnd w:id="2112"/>
    </w:p>
    <w:p w14:paraId="51975105" w14:textId="77777777" w:rsidR="00276DF7" w:rsidRPr="0035693B" w:rsidRDefault="00276DF7" w:rsidP="00276DF7">
      <w:pPr>
        <w:shd w:val="clear" w:color="auto" w:fill="F2F2F2" w:themeFill="background1" w:themeFillShade="F2"/>
        <w:spacing w:before="60" w:after="60"/>
        <w:rPr>
          <w:i/>
          <w:strike/>
        </w:rPr>
      </w:pPr>
      <w:r w:rsidRPr="0035693B">
        <w:rPr>
          <w:rFonts w:ascii="Titillium" w:eastAsia="SimSun" w:hAnsi="Titillium" w:cs="Calibri"/>
          <w:b/>
          <w:i/>
          <w:sz w:val="18"/>
          <w:szCs w:val="18"/>
        </w:rPr>
        <w:t>[Eliminare questo articolo se si ricorre all’inversione procedimentale</w:t>
      </w:r>
      <w:r w:rsidRPr="0035693B">
        <w:rPr>
          <w:rFonts w:ascii="Titillium" w:eastAsia="SimSun" w:hAnsi="Titillium"/>
          <w:b/>
          <w:bCs/>
          <w:i/>
          <w:sz w:val="18"/>
          <w:szCs w:val="18"/>
        </w:rPr>
        <w:t>]</w:t>
      </w:r>
    </w:p>
    <w:p w14:paraId="350C1CE9" w14:textId="77777777" w:rsidR="00276DF7" w:rsidRPr="0035693B" w:rsidRDefault="00276DF7" w:rsidP="00276DF7">
      <w:pPr>
        <w:shd w:val="clear" w:color="auto" w:fill="F2F2F2" w:themeFill="background1" w:themeFillShade="F2"/>
        <w:spacing w:before="60" w:after="60"/>
      </w:pPr>
      <w:r w:rsidRPr="0035693B">
        <w:rPr>
          <w:rFonts w:ascii="Titillium" w:hAnsi="Titillium" w:cs="Calibri"/>
          <w:sz w:val="18"/>
          <w:szCs w:val="18"/>
        </w:rPr>
        <w:t xml:space="preserve">Il/la … </w:t>
      </w:r>
      <w:r w:rsidRPr="0035693B">
        <w:rPr>
          <w:rFonts w:ascii="Titillium" w:hAnsi="Titillium" w:cs="Calibri"/>
          <w:i/>
          <w:sz w:val="18"/>
          <w:szCs w:val="18"/>
        </w:rPr>
        <w:t>[scegliere tra RUP</w:t>
      </w:r>
      <w:r w:rsidRPr="0035693B">
        <w:t xml:space="preserve">, </w:t>
      </w:r>
      <w:r w:rsidRPr="0035693B">
        <w:rPr>
          <w:rFonts w:ascii="Titillium" w:hAnsi="Titillium" w:cs="Garamond"/>
          <w:i/>
          <w:sz w:val="18"/>
          <w:szCs w:val="18"/>
        </w:rPr>
        <w:t>responsabile di fase, apposito ufficio o servizio a ciò deputato, sulla base delle disposizioni organizzative proprie della stazione appaltante</w:t>
      </w:r>
      <w:r w:rsidRPr="0035693B">
        <w:rPr>
          <w:rFonts w:ascii="Titillium" w:hAnsi="Titillium" w:cs="Garamond"/>
          <w:sz w:val="18"/>
          <w:szCs w:val="18"/>
        </w:rPr>
        <w:t>]</w:t>
      </w:r>
      <w:r w:rsidRPr="0035693B">
        <w:rPr>
          <w:rFonts w:ascii="Titillium" w:hAnsi="Titillium" w:cs="Calibri"/>
          <w:sz w:val="18"/>
          <w:szCs w:val="18"/>
        </w:rPr>
        <w:t xml:space="preserve"> accede alla documentazione amministrativa di ciascun concorrente, mentre l’offerta tecnica e l’offerta economica restano, chiuse, segrete e bloccate dal sistema, e procede a: </w:t>
      </w:r>
    </w:p>
    <w:p w14:paraId="2CBDE64B" w14:textId="77777777" w:rsidR="00276DF7" w:rsidRPr="0035693B" w:rsidRDefault="00276DF7" w:rsidP="00276DF7">
      <w:pPr>
        <w:numPr>
          <w:ilvl w:val="0"/>
          <w:numId w:val="8"/>
        </w:numPr>
        <w:shd w:val="clear" w:color="auto" w:fill="F2F2F2" w:themeFill="background1" w:themeFillShade="F2"/>
        <w:tabs>
          <w:tab w:val="left" w:pos="851"/>
        </w:tabs>
        <w:spacing w:before="60" w:after="60" w:line="276" w:lineRule="auto"/>
        <w:ind w:left="426"/>
        <w:jc w:val="both"/>
        <w:rPr>
          <w:rFonts w:ascii="Titillium" w:hAnsi="Titillium" w:cs="Calibri"/>
          <w:sz w:val="18"/>
          <w:szCs w:val="18"/>
        </w:rPr>
      </w:pPr>
      <w:r w:rsidRPr="0035693B">
        <w:rPr>
          <w:rFonts w:ascii="Titillium" w:hAnsi="Titillium" w:cs="Calibri"/>
          <w:sz w:val="18"/>
          <w:szCs w:val="18"/>
        </w:rPr>
        <w:t>controllare la completezza della documentazione amministrativa presentata;</w:t>
      </w:r>
    </w:p>
    <w:p w14:paraId="0C38A84F" w14:textId="77777777" w:rsidR="00276DF7" w:rsidRPr="0035693B" w:rsidRDefault="00276DF7" w:rsidP="00276DF7">
      <w:pPr>
        <w:pStyle w:val="Paragrafoelenco"/>
        <w:numPr>
          <w:ilvl w:val="0"/>
          <w:numId w:val="8"/>
        </w:numPr>
        <w:shd w:val="clear" w:color="auto" w:fill="F2F2F2" w:themeFill="background1" w:themeFillShade="F2"/>
        <w:tabs>
          <w:tab w:val="left" w:pos="851"/>
        </w:tabs>
        <w:spacing w:before="60" w:after="60"/>
        <w:ind w:left="426"/>
        <w:rPr>
          <w:rFonts w:ascii="Titillium" w:hAnsi="Titillium" w:cs="Calibri"/>
          <w:sz w:val="18"/>
          <w:szCs w:val="18"/>
        </w:rPr>
      </w:pPr>
      <w:r w:rsidRPr="0035693B">
        <w:rPr>
          <w:rFonts w:ascii="Titillium" w:hAnsi="Titillium" w:cs="Calibri"/>
          <w:sz w:val="18"/>
          <w:szCs w:val="18"/>
        </w:rPr>
        <w:t>verificare la conformità della documentazione amministrativa a quanto richiesto nel presente disciplinare;</w:t>
      </w:r>
    </w:p>
    <w:p w14:paraId="749DA91A" w14:textId="77777777" w:rsidR="00276DF7" w:rsidRPr="0035693B" w:rsidRDefault="00276DF7" w:rsidP="00276DF7">
      <w:pPr>
        <w:pStyle w:val="Paragrafoelenco"/>
        <w:numPr>
          <w:ilvl w:val="0"/>
          <w:numId w:val="8"/>
        </w:numPr>
        <w:shd w:val="clear" w:color="auto" w:fill="F2F2F2" w:themeFill="background1" w:themeFillShade="F2"/>
        <w:tabs>
          <w:tab w:val="left" w:pos="851"/>
        </w:tabs>
        <w:spacing w:before="60" w:after="60"/>
        <w:ind w:left="426"/>
        <w:rPr>
          <w:rFonts w:ascii="Titillium" w:hAnsi="Titillium" w:cs="Calibri"/>
          <w:sz w:val="18"/>
          <w:szCs w:val="18"/>
        </w:rPr>
      </w:pPr>
      <w:r w:rsidRPr="0035693B">
        <w:rPr>
          <w:rFonts w:ascii="Titillium" w:hAnsi="Titillium" w:cs="Calibri"/>
          <w:sz w:val="18"/>
          <w:szCs w:val="18"/>
        </w:rPr>
        <w:t xml:space="preserve">attivare la procedura di soccorso istruttorio di cui al precedente punto </w:t>
      </w:r>
      <w:r w:rsidRPr="0035693B">
        <w:rPr>
          <w:rFonts w:ascii="Titillium" w:hAnsi="Titillium" w:cs="Calibri"/>
          <w:sz w:val="18"/>
          <w:szCs w:val="18"/>
        </w:rPr>
        <w:fldChar w:fldCharType="begin"/>
      </w:r>
      <w:r w:rsidRPr="0035693B">
        <w:rPr>
          <w:rFonts w:ascii="Titillium" w:hAnsi="Titillium" w:cs="Calibri"/>
          <w:sz w:val="18"/>
          <w:szCs w:val="18"/>
        </w:rPr>
        <w:instrText xml:space="preserve"> REF _Ref129796272 \r \h </w:instrText>
      </w:r>
      <w:r w:rsidRPr="0035693B">
        <w:instrText xml:space="preserve"> \* MERGEFORMAT </w:instrText>
      </w:r>
      <w:r w:rsidRPr="0035693B">
        <w:rPr>
          <w:rFonts w:ascii="Titillium" w:hAnsi="Titillium" w:cs="Calibri"/>
          <w:sz w:val="18"/>
          <w:szCs w:val="18"/>
        </w:rPr>
      </w:r>
      <w:r w:rsidRPr="0035693B">
        <w:rPr>
          <w:rFonts w:ascii="Titillium" w:hAnsi="Titillium" w:cs="Calibri"/>
          <w:sz w:val="18"/>
          <w:szCs w:val="18"/>
        </w:rPr>
        <w:fldChar w:fldCharType="separate"/>
      </w:r>
      <w:r w:rsidRPr="0035693B">
        <w:rPr>
          <w:rFonts w:ascii="Titillium" w:hAnsi="Titillium" w:cs="Calibri"/>
          <w:sz w:val="18"/>
          <w:szCs w:val="18"/>
        </w:rPr>
        <w:t>14</w:t>
      </w:r>
      <w:r w:rsidRPr="0035693B">
        <w:rPr>
          <w:rFonts w:ascii="Titillium" w:hAnsi="Titillium" w:cs="Calibri"/>
          <w:sz w:val="18"/>
          <w:szCs w:val="18"/>
        </w:rPr>
        <w:fldChar w:fldCharType="end"/>
      </w:r>
      <w:r w:rsidRPr="0035693B">
        <w:rPr>
          <w:rFonts w:ascii="Titillium" w:hAnsi="Titillium" w:cs="Calibri"/>
          <w:sz w:val="18"/>
          <w:szCs w:val="18"/>
        </w:rPr>
        <w:t xml:space="preserve">. </w:t>
      </w:r>
    </w:p>
    <w:p w14:paraId="5F6D3272" w14:textId="77777777" w:rsidR="00276DF7" w:rsidRPr="002D6EEC" w:rsidRDefault="00276DF7" w:rsidP="00276DF7">
      <w:pPr>
        <w:shd w:val="clear" w:color="auto" w:fill="F2F2F2" w:themeFill="background1" w:themeFillShade="F2"/>
        <w:tabs>
          <w:tab w:val="left" w:pos="851"/>
        </w:tabs>
        <w:spacing w:before="60" w:after="60"/>
        <w:ind w:left="66"/>
        <w:rPr>
          <w:rFonts w:ascii="Titillium" w:hAnsi="Titillium" w:cs="Calibri"/>
          <w:sz w:val="18"/>
          <w:szCs w:val="18"/>
        </w:rPr>
      </w:pPr>
      <w:r w:rsidRPr="0035693B">
        <w:rPr>
          <w:rFonts w:ascii="Titillium" w:hAnsi="Titillium" w:cs="Calibri"/>
          <w:sz w:val="18"/>
          <w:szCs w:val="18"/>
        </w:rPr>
        <w:t>Gli eventuali provvedimenti di esclusione dalla procedura di gara sono comunicati entro cinque giorni dalla loro adozione.</w:t>
      </w:r>
      <w:r w:rsidRPr="0035693B" w:rsidDel="00626907">
        <w:t xml:space="preserve"> </w:t>
      </w:r>
      <w:r w:rsidRPr="0035693B">
        <w:rPr>
          <w:rFonts w:ascii="Titillium" w:hAnsi="Titillium" w:cs="Calibri"/>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r w:rsidRPr="002D6EEC">
        <w:rPr>
          <w:rFonts w:ascii="Titillium" w:hAnsi="Titillium" w:cs="Calibri"/>
          <w:sz w:val="18"/>
          <w:szCs w:val="18"/>
        </w:rPr>
        <w:t xml:space="preserve"> </w:t>
      </w:r>
    </w:p>
    <w:p w14:paraId="7B351DBF" w14:textId="77777777" w:rsidR="00276DF7" w:rsidRDefault="00276DF7" w:rsidP="00276DF7">
      <w:pPr>
        <w:pStyle w:val="Titolo2"/>
        <w:numPr>
          <w:ilvl w:val="0"/>
          <w:numId w:val="4"/>
        </w:numPr>
        <w:shd w:val="clear" w:color="auto" w:fill="F2F2F2" w:themeFill="background1" w:themeFillShade="F2"/>
        <w:spacing w:before="60" w:after="60"/>
        <w:ind w:left="357" w:hanging="357"/>
        <w:rPr>
          <w:rFonts w:ascii="Titillium" w:hAnsi="Titillium"/>
          <w:sz w:val="18"/>
          <w:szCs w:val="18"/>
          <w:lang w:val="it-IT"/>
        </w:rPr>
      </w:pPr>
      <w:bookmarkStart w:id="2113" w:name="_Ref132303065"/>
      <w:bookmarkStart w:id="2114" w:name="_Ref138148356"/>
      <w:bookmarkStart w:id="2115" w:name="_Toc139549452"/>
      <w:r>
        <w:rPr>
          <w:rFonts w:ascii="Titillium" w:hAnsi="Titillium"/>
          <w:sz w:val="18"/>
          <w:szCs w:val="18"/>
          <w:lang w:val="it-IT"/>
        </w:rPr>
        <w:t>VALUTAZIONE DELLE OFFERTE TECNICHE ED ECONOMICHE</w:t>
      </w:r>
      <w:bookmarkEnd w:id="2113"/>
      <w:bookmarkEnd w:id="2114"/>
      <w:bookmarkEnd w:id="2115"/>
    </w:p>
    <w:p w14:paraId="3FC31C87"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685E87">
        <w:rPr>
          <w:rFonts w:ascii="Titillium" w:hAnsi="Titillium" w:cs="Calibri"/>
          <w:sz w:val="18"/>
          <w:szCs w:val="18"/>
        </w:rPr>
        <w:t xml:space="preserve">La data e l’ora in cui si procede all’apertura delle offerte tecniche </w:t>
      </w:r>
      <w:r w:rsidRPr="00685E87">
        <w:rPr>
          <w:rFonts w:ascii="Titillium" w:hAnsi="Titillium" w:cs="Calibri"/>
          <w:i/>
          <w:sz w:val="18"/>
          <w:szCs w:val="18"/>
        </w:rPr>
        <w:t xml:space="preserve">[nel caso di gara a più lotti: relativamente a ciascun singolo lotto] </w:t>
      </w:r>
      <w:r w:rsidRPr="00685E87">
        <w:rPr>
          <w:rFonts w:ascii="Titillium" w:hAnsi="Titillium" w:cs="Calibri"/>
          <w:sz w:val="18"/>
          <w:szCs w:val="18"/>
        </w:rPr>
        <w:t>sono comunicate tramite la Piattaforma ai concorrenti ammessi a</w:t>
      </w:r>
      <w:r>
        <w:rPr>
          <w:rFonts w:ascii="Titillium" w:hAnsi="Titillium" w:cs="Calibri"/>
          <w:sz w:val="18"/>
          <w:szCs w:val="18"/>
        </w:rPr>
        <w:t>lla presente fase di gara</w:t>
      </w:r>
      <w:r w:rsidRPr="00685E87">
        <w:rPr>
          <w:rFonts w:ascii="Titillium" w:hAnsi="Titillium" w:cs="Calibri"/>
          <w:sz w:val="18"/>
          <w:szCs w:val="18"/>
        </w:rPr>
        <w:t>.</w:t>
      </w:r>
    </w:p>
    <w:p w14:paraId="3B2A2F80"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CE407B">
        <w:rPr>
          <w:rFonts w:ascii="Titillium" w:hAnsi="Titillium" w:cs="Calibri"/>
          <w:i/>
          <w:sz w:val="18"/>
          <w:szCs w:val="18"/>
        </w:rPr>
        <w:t>[Scegliere tra il RUP e la</w:t>
      </w:r>
      <w:r>
        <w:rPr>
          <w:rFonts w:ascii="Titillium" w:hAnsi="Titillium" w:cs="Calibri"/>
          <w:sz w:val="18"/>
          <w:szCs w:val="18"/>
        </w:rPr>
        <w:t xml:space="preserve"> commissione giudicatrice] … procede </w:t>
      </w:r>
      <w:r w:rsidRPr="006D2A5E">
        <w:rPr>
          <w:rFonts w:ascii="Titillium" w:hAnsi="Titillium" w:cs="Calibri"/>
          <w:i/>
          <w:sz w:val="18"/>
          <w:szCs w:val="18"/>
        </w:rPr>
        <w:t>[nel caso di gara a più lotti: relativamente a ciascun singolo lotto]</w:t>
      </w:r>
      <w:r>
        <w:rPr>
          <w:rFonts w:ascii="Titillium" w:hAnsi="Titillium" w:cs="Calibri"/>
          <w:sz w:val="18"/>
          <w:szCs w:val="18"/>
        </w:rPr>
        <w:t xml:space="preserve"> all’apertura delle offerte presentate.  La commissione giudicatrice procede all’esame e valutazione delle offerte presentate dai concorrenti e all’assegnazione dei relativi punteggi applicando i criteri e le formule indicati nel bando e nel presente disciplinare. Gli esiti della valutazione sono registrati dalla Piattaforma.</w:t>
      </w:r>
    </w:p>
    <w:p w14:paraId="5C6D0DC7" w14:textId="77777777" w:rsidR="00276DF7" w:rsidRPr="006D2A5E" w:rsidRDefault="00276DF7" w:rsidP="00276DF7">
      <w:pPr>
        <w:shd w:val="clear" w:color="auto" w:fill="F2F2F2" w:themeFill="background1" w:themeFillShade="F2"/>
        <w:spacing w:before="60" w:after="60"/>
        <w:rPr>
          <w:rFonts w:ascii="Titillium" w:hAnsi="Titillium" w:cs="Calibri"/>
          <w:b/>
          <w:i/>
          <w:sz w:val="18"/>
          <w:szCs w:val="18"/>
        </w:rPr>
      </w:pPr>
      <w:r w:rsidRPr="006D2A5E">
        <w:rPr>
          <w:rFonts w:ascii="Titillium" w:hAnsi="Titillium" w:cs="Calibri"/>
          <w:b/>
          <w:i/>
          <w:sz w:val="18"/>
          <w:szCs w:val="18"/>
        </w:rPr>
        <w:t>[In alternativa in caso di inversione procedimentale]</w:t>
      </w:r>
    </w:p>
    <w:p w14:paraId="5EB661AF" w14:textId="77777777" w:rsidR="00276DF7" w:rsidRPr="005A0708" w:rsidRDefault="00276DF7" w:rsidP="00276DF7">
      <w:pPr>
        <w:shd w:val="clear" w:color="auto" w:fill="F2F2F2" w:themeFill="background1" w:themeFillShade="F2"/>
        <w:spacing w:before="60" w:after="60"/>
        <w:rPr>
          <w:rFonts w:ascii="Titillium" w:hAnsi="Titillium" w:cs="Calibri"/>
          <w:sz w:val="18"/>
          <w:szCs w:val="18"/>
        </w:rPr>
      </w:pPr>
      <w:r w:rsidRPr="00775FBF">
        <w:rPr>
          <w:rFonts w:ascii="Titillium" w:hAnsi="Titillium" w:cs="Calibri"/>
          <w:sz w:val="18"/>
          <w:szCs w:val="18"/>
        </w:rPr>
        <w:t xml:space="preserve">La data e l’ora in cui si procede all’apertura delle offerte tecniche </w:t>
      </w:r>
      <w:r w:rsidRPr="006D2A5E">
        <w:rPr>
          <w:rFonts w:ascii="Titillium" w:hAnsi="Titillium" w:cs="Calibri"/>
          <w:i/>
          <w:sz w:val="18"/>
          <w:szCs w:val="18"/>
        </w:rPr>
        <w:t xml:space="preserve">[nel caso di gara a più lotti: relativamente a ciascun singolo </w:t>
      </w:r>
      <w:r w:rsidRPr="0013560D">
        <w:rPr>
          <w:rFonts w:ascii="Titillium" w:hAnsi="Titillium" w:cs="Calibri"/>
          <w:i/>
          <w:sz w:val="18"/>
          <w:szCs w:val="18"/>
        </w:rPr>
        <w:t>lotto]</w:t>
      </w:r>
      <w:r w:rsidRPr="0013560D">
        <w:rPr>
          <w:rFonts w:ascii="Titillium" w:hAnsi="Titillium" w:cs="Calibri"/>
          <w:sz w:val="18"/>
          <w:szCs w:val="18"/>
        </w:rPr>
        <w:t xml:space="preserve"> sono comunicate tramite la Piattaforma ai concorrenti che hanno presentato la domanda di partecipazione nei termini</w:t>
      </w:r>
      <w:r>
        <w:rPr>
          <w:rFonts w:ascii="Titillium" w:hAnsi="Titillium" w:cs="Calibri"/>
          <w:sz w:val="18"/>
          <w:szCs w:val="18"/>
        </w:rPr>
        <w:t xml:space="preserve"> previsti dal bando di gara</w:t>
      </w:r>
      <w:r w:rsidRPr="00775FBF">
        <w:rPr>
          <w:rFonts w:ascii="Titillium" w:hAnsi="Titillium" w:cs="Calibri"/>
          <w:sz w:val="18"/>
          <w:szCs w:val="18"/>
        </w:rPr>
        <w:t>.</w:t>
      </w:r>
      <w:r>
        <w:rPr>
          <w:rFonts w:ascii="Titillium" w:hAnsi="Titillium" w:cs="Calibri"/>
          <w:sz w:val="18"/>
          <w:szCs w:val="18"/>
        </w:rPr>
        <w:t xml:space="preserve"> </w:t>
      </w:r>
    </w:p>
    <w:p w14:paraId="15CE60FA"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5A0708">
        <w:rPr>
          <w:rFonts w:ascii="Titillium" w:hAnsi="Titillium" w:cs="Calibri"/>
          <w:sz w:val="18"/>
          <w:szCs w:val="18"/>
        </w:rPr>
        <w:t xml:space="preserve">La commissione giudicatrice procede </w:t>
      </w:r>
      <w:r w:rsidRPr="003762B8">
        <w:rPr>
          <w:rFonts w:ascii="Titillium" w:hAnsi="Titillium" w:cs="Calibri"/>
          <w:i/>
          <w:sz w:val="18"/>
          <w:szCs w:val="18"/>
        </w:rPr>
        <w:t>[</w:t>
      </w:r>
      <w:r w:rsidRPr="006D2A5E">
        <w:rPr>
          <w:rFonts w:ascii="Titillium" w:hAnsi="Titillium" w:cs="Calibri"/>
          <w:i/>
          <w:sz w:val="18"/>
          <w:szCs w:val="18"/>
        </w:rPr>
        <w:t>nel caso di gara a più lotti: relativamente a ciascun singolo lotto]</w:t>
      </w:r>
      <w:r>
        <w:rPr>
          <w:rFonts w:ascii="Titillium" w:hAnsi="Titillium" w:cs="Calibri"/>
          <w:sz w:val="18"/>
          <w:szCs w:val="18"/>
        </w:rPr>
        <w:t xml:space="preserve"> </w:t>
      </w:r>
      <w:r w:rsidRPr="005A0708">
        <w:rPr>
          <w:rFonts w:ascii="Titillium" w:hAnsi="Titillium" w:cs="Calibri"/>
          <w:sz w:val="18"/>
          <w:szCs w:val="18"/>
        </w:rPr>
        <w:t>a</w:t>
      </w:r>
      <w:r>
        <w:rPr>
          <w:rFonts w:ascii="Titillium" w:hAnsi="Titillium" w:cs="Calibri"/>
          <w:sz w:val="18"/>
          <w:szCs w:val="18"/>
        </w:rPr>
        <w:t>d apertura,</w:t>
      </w:r>
      <w:r w:rsidRPr="005A0708">
        <w:rPr>
          <w:rFonts w:ascii="Titillium" w:hAnsi="Titillium" w:cs="Calibri"/>
          <w:sz w:val="18"/>
          <w:szCs w:val="18"/>
        </w:rPr>
        <w:t xml:space="preserve"> esame e</w:t>
      </w:r>
      <w:r>
        <w:rPr>
          <w:rFonts w:ascii="Titillium" w:hAnsi="Titillium" w:cs="Calibri"/>
          <w:sz w:val="18"/>
          <w:szCs w:val="18"/>
        </w:rPr>
        <w:t xml:space="preserve"> </w:t>
      </w:r>
      <w:r w:rsidRPr="005A0708">
        <w:rPr>
          <w:rFonts w:ascii="Titillium" w:hAnsi="Titillium" w:cs="Calibri"/>
          <w:sz w:val="18"/>
          <w:szCs w:val="18"/>
        </w:rPr>
        <w:t>valutazione delle offerte tecniche e all’assegnazione dei relativi punteggi applicando i criteri e le formule indicati nel bando e nel presente disciplinare. Gli esiti della valutazione sono registrati dalla Piattaforma</w:t>
      </w:r>
      <w:r>
        <w:rPr>
          <w:rFonts w:ascii="Titillium" w:hAnsi="Titillium" w:cs="Calibri"/>
          <w:sz w:val="18"/>
          <w:szCs w:val="18"/>
        </w:rPr>
        <w:t>.</w:t>
      </w:r>
    </w:p>
    <w:p w14:paraId="296B079A" w14:textId="3B9A9FB7" w:rsidR="00276DF7" w:rsidRDefault="00276DF7" w:rsidP="00276DF7">
      <w:pPr>
        <w:shd w:val="clear" w:color="auto" w:fill="F2F2F2" w:themeFill="background1" w:themeFillShade="F2"/>
        <w:spacing w:before="60" w:after="60"/>
        <w:rPr>
          <w:rFonts w:ascii="Titillium" w:hAnsi="Titillium" w:cs="Calibri"/>
          <w:sz w:val="18"/>
          <w:szCs w:val="18"/>
        </w:rPr>
      </w:pPr>
      <w:r w:rsidRPr="00BD13B0">
        <w:rPr>
          <w:rFonts w:ascii="Titillium" w:hAnsi="Titillium" w:cs="Calibri"/>
          <w:b/>
          <w:i/>
          <w:sz w:val="18"/>
          <w:szCs w:val="18"/>
        </w:rPr>
        <w:t>[</w:t>
      </w:r>
      <w:r w:rsidRPr="00BD13B0">
        <w:rPr>
          <w:rFonts w:ascii="Titillium" w:hAnsi="Titillium"/>
          <w:b/>
          <w:i/>
          <w:sz w:val="18"/>
          <w:szCs w:val="18"/>
        </w:rPr>
        <w:t xml:space="preserve">Facoltativo: </w:t>
      </w:r>
      <w:r w:rsidRPr="00BD13B0">
        <w:rPr>
          <w:rFonts w:ascii="Titillium" w:hAnsi="Titillium" w:cs="Calibri"/>
          <w:b/>
          <w:i/>
          <w:sz w:val="18"/>
          <w:szCs w:val="18"/>
        </w:rPr>
        <w:t xml:space="preserve">in caso riparametrazione] </w:t>
      </w:r>
      <w:r w:rsidRPr="00BD13B0">
        <w:rPr>
          <w:rFonts w:ascii="Titillium" w:hAnsi="Titillium" w:cs="Calibri"/>
          <w:sz w:val="18"/>
          <w:szCs w:val="18"/>
        </w:rPr>
        <w:t xml:space="preserve">La commissione procede alla riparametrazione dei punteggi secondo quanto indicato al punto </w:t>
      </w:r>
      <w:r>
        <w:rPr>
          <w:rFonts w:ascii="Titillium" w:hAnsi="Titillium" w:cs="Calibri"/>
          <w:sz w:val="18"/>
          <w:szCs w:val="18"/>
        </w:rPr>
        <w:fldChar w:fldCharType="begin"/>
      </w:r>
      <w:r>
        <w:rPr>
          <w:rFonts w:ascii="Titillium" w:hAnsi="Titillium" w:cs="Calibri"/>
          <w:sz w:val="18"/>
          <w:szCs w:val="18"/>
        </w:rPr>
        <w:instrText xml:space="preserve"> REF _Ref497226795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18.4</w:t>
      </w:r>
      <w:r>
        <w:rPr>
          <w:rFonts w:ascii="Titillium" w:hAnsi="Titillium" w:cs="Calibri"/>
          <w:sz w:val="18"/>
          <w:szCs w:val="18"/>
        </w:rPr>
        <w:fldChar w:fldCharType="end"/>
      </w:r>
      <w:r w:rsidRPr="00BD13B0">
        <w:rPr>
          <w:rFonts w:ascii="Titillium" w:hAnsi="Titillium" w:cs="Calibri"/>
          <w:sz w:val="18"/>
          <w:szCs w:val="18"/>
        </w:rPr>
        <w:t>.</w:t>
      </w:r>
    </w:p>
    <w:p w14:paraId="0A0F5BF1" w14:textId="35EE03DA" w:rsidR="00276DF7" w:rsidRDefault="00276DF7" w:rsidP="00276DF7">
      <w:pPr>
        <w:shd w:val="clear" w:color="auto" w:fill="F2F2F2" w:themeFill="background1" w:themeFillShade="F2"/>
        <w:rPr>
          <w:rFonts w:ascii="Titillium" w:hAnsi="Titillium"/>
          <w:sz w:val="20"/>
          <w:szCs w:val="20"/>
        </w:rPr>
      </w:pPr>
      <w:r>
        <w:rPr>
          <w:rFonts w:ascii="Titillium" w:hAnsi="Titillium" w:cs="Calibri"/>
          <w:sz w:val="18"/>
          <w:szCs w:val="18"/>
        </w:rPr>
        <w:t xml:space="preserve">La commissione giudicatrice rende visibile ai concorrenti, con le modalità di cui all’articolo </w:t>
      </w:r>
      <w:r>
        <w:rPr>
          <w:rFonts w:ascii="Titillium" w:hAnsi="Titillium" w:cs="Calibri"/>
          <w:sz w:val="18"/>
          <w:szCs w:val="18"/>
        </w:rPr>
        <w:fldChar w:fldCharType="begin"/>
      </w:r>
      <w:r>
        <w:rPr>
          <w:rFonts w:ascii="Titillium" w:hAnsi="Titillium" w:cs="Calibri"/>
          <w:sz w:val="18"/>
          <w:szCs w:val="18"/>
        </w:rPr>
        <w:instrText xml:space="preserve"> REF _Ref130243943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20</w:t>
      </w:r>
      <w:r>
        <w:rPr>
          <w:rFonts w:ascii="Titillium" w:hAnsi="Titillium" w:cs="Calibri"/>
          <w:sz w:val="18"/>
          <w:szCs w:val="18"/>
        </w:rPr>
        <w:fldChar w:fldCharType="end"/>
      </w:r>
      <w:r>
        <w:rPr>
          <w:rFonts w:ascii="Titillium" w:hAnsi="Titillium" w:cs="Calibri"/>
          <w:sz w:val="18"/>
          <w:szCs w:val="18"/>
        </w:rPr>
        <w:t xml:space="preserve">: </w:t>
      </w:r>
    </w:p>
    <w:p w14:paraId="0A46DA7C" w14:textId="77777777" w:rsidR="00276DF7" w:rsidRDefault="00276DF7" w:rsidP="00276DF7">
      <w:pPr>
        <w:shd w:val="clear" w:color="auto" w:fill="F2F2F2" w:themeFill="background1" w:themeFillShade="F2"/>
        <w:ind w:left="284"/>
        <w:rPr>
          <w:rFonts w:ascii="Titillium" w:hAnsi="Titillium"/>
          <w:sz w:val="20"/>
          <w:szCs w:val="20"/>
        </w:rPr>
      </w:pPr>
      <w:r>
        <w:rPr>
          <w:rFonts w:ascii="Titillium" w:hAnsi="Titillium" w:cs="Calibri"/>
          <w:sz w:val="18"/>
          <w:szCs w:val="18"/>
        </w:rPr>
        <w:t>a) i punteggi tecnici attribuiti alle singole offerte tecniche;</w:t>
      </w:r>
    </w:p>
    <w:p w14:paraId="5B3887C9" w14:textId="77777777" w:rsidR="00276DF7" w:rsidRDefault="00276DF7" w:rsidP="00276DF7">
      <w:pPr>
        <w:shd w:val="clear" w:color="auto" w:fill="F2F2F2" w:themeFill="background1" w:themeFillShade="F2"/>
        <w:ind w:left="284"/>
        <w:rPr>
          <w:rFonts w:ascii="Titillium" w:hAnsi="Titillium" w:cs="Calibri"/>
          <w:sz w:val="18"/>
          <w:szCs w:val="18"/>
        </w:rPr>
      </w:pPr>
      <w:r>
        <w:rPr>
          <w:rFonts w:ascii="Titillium" w:hAnsi="Titillium" w:cs="Calibri"/>
          <w:sz w:val="18"/>
          <w:szCs w:val="18"/>
        </w:rPr>
        <w:t>b) le eventuali esclusioni dalla gara dei concorrenti.</w:t>
      </w:r>
    </w:p>
    <w:p w14:paraId="22BE0177" w14:textId="77777777" w:rsidR="00276DF7" w:rsidRDefault="00276DF7" w:rsidP="00276DF7">
      <w:pPr>
        <w:shd w:val="clear" w:color="auto" w:fill="F2F2F2" w:themeFill="background1" w:themeFillShade="F2"/>
        <w:rPr>
          <w:rFonts w:ascii="Titillium" w:hAnsi="Titillium"/>
          <w:sz w:val="20"/>
          <w:szCs w:val="20"/>
        </w:rPr>
      </w:pPr>
      <w:r>
        <w:rPr>
          <w:rFonts w:ascii="Titillium" w:hAnsi="Titillium" w:cs="Calibri"/>
          <w:sz w:val="18"/>
          <w:szCs w:val="18"/>
        </w:rPr>
        <w:t xml:space="preserve">Al termine delle operazioni di cui sopra la Piattaforma consente la prosecuzione della procedura ai soli concorrenti ammessi alla valutazione delle offerte economiche. </w:t>
      </w:r>
    </w:p>
    <w:p w14:paraId="6E4AE4BB" w14:textId="77777777" w:rsidR="00276DF7" w:rsidRDefault="00276DF7" w:rsidP="00276DF7">
      <w:pPr>
        <w:shd w:val="clear" w:color="auto" w:fill="F2F2F2" w:themeFill="background1" w:themeFillShade="F2"/>
        <w:rPr>
          <w:rFonts w:ascii="Titillium" w:hAnsi="Titillium"/>
          <w:sz w:val="18"/>
          <w:szCs w:val="18"/>
        </w:rPr>
      </w:pPr>
      <w:r>
        <w:rPr>
          <w:rFonts w:ascii="Titillium" w:hAnsi="Titillium" w:cs="Calibri"/>
          <w:sz w:val="18"/>
          <w:szCs w:val="18"/>
        </w:rPr>
        <w:t>La commissione giudicatrice procede</w:t>
      </w:r>
      <w:r w:rsidRPr="009B0C28">
        <w:rPr>
          <w:rFonts w:ascii="Titillium" w:hAnsi="Titillium" w:cs="Calibri"/>
          <w:sz w:val="18"/>
          <w:szCs w:val="18"/>
        </w:rPr>
        <w:t xml:space="preserve"> </w:t>
      </w:r>
      <w:r w:rsidRPr="008F6C85">
        <w:rPr>
          <w:rFonts w:ascii="Titillium" w:hAnsi="Titillium" w:cs="Calibri"/>
          <w:i/>
          <w:sz w:val="18"/>
          <w:szCs w:val="18"/>
        </w:rPr>
        <w:t>[nel caso di gara a più lotti: relativamente a ciascun singolo lotto]</w:t>
      </w:r>
      <w:r w:rsidRPr="009B0C28">
        <w:rPr>
          <w:rFonts w:ascii="Titillium" w:hAnsi="Titillium" w:cs="Calibri"/>
          <w:sz w:val="18"/>
          <w:szCs w:val="18"/>
        </w:rPr>
        <w:t xml:space="preserve"> all’apertura </w:t>
      </w:r>
      <w:r>
        <w:rPr>
          <w:rFonts w:ascii="Titillium" w:hAnsi="Titillium" w:cs="Calibri"/>
          <w:sz w:val="18"/>
          <w:szCs w:val="18"/>
        </w:rPr>
        <w:t xml:space="preserve">e alla valutazione delle </w:t>
      </w:r>
      <w:r>
        <w:rPr>
          <w:rFonts w:ascii="Titilium" w:hAnsi="Titilium" w:cs="Calibri"/>
          <w:sz w:val="18"/>
          <w:szCs w:val="18"/>
        </w:rPr>
        <w:t>of</w:t>
      </w:r>
      <w:r>
        <w:rPr>
          <w:rFonts w:ascii="Titillium" w:hAnsi="Titillium" w:cs="Calibri"/>
          <w:sz w:val="18"/>
          <w:szCs w:val="18"/>
        </w:rPr>
        <w:t xml:space="preserve">ferte economiche, secondo i criteri e le modalità descritte nel disciplinare e, successivamente, </w:t>
      </w:r>
      <w:r>
        <w:rPr>
          <w:rFonts w:ascii="Titillium" w:hAnsi="Titillium"/>
          <w:sz w:val="18"/>
          <w:szCs w:val="18"/>
        </w:rPr>
        <w:t xml:space="preserve">all’individuazione dell’unico parametro numerico finale per la formulazione della graduatoria. </w:t>
      </w:r>
    </w:p>
    <w:p w14:paraId="4A35C41B" w14:textId="77777777" w:rsidR="00276DF7" w:rsidRDefault="00276DF7" w:rsidP="00276DF7">
      <w:pPr>
        <w:shd w:val="clear" w:color="auto" w:fill="F2F2F2" w:themeFill="background1" w:themeFillShade="F2"/>
        <w:spacing w:before="60" w:after="60"/>
      </w:pPr>
      <w:r>
        <w:rPr>
          <w:rFonts w:ascii="Titillium" w:hAnsi="Titillium" w:cs="Calibri"/>
          <w:sz w:val="18"/>
          <w:szCs w:val="18"/>
        </w:rPr>
        <w:lastRenderedPageBreak/>
        <w:t xml:space="preserve">Nel caso in cui le offerte di due o più concorrenti ottengano lo stesso punteggio complessivo, ma punteggi differenti per il prezzo e per tutti gli altri elementi di valutazione, è collocato primo in graduatoria il concorrente che ha ottenuto il miglior punteggio sul … </w:t>
      </w:r>
      <w:r>
        <w:rPr>
          <w:rFonts w:ascii="Titillium" w:hAnsi="Titillium" w:cs="Calibri"/>
          <w:i/>
          <w:sz w:val="18"/>
          <w:szCs w:val="18"/>
        </w:rPr>
        <w:t>[</w:t>
      </w:r>
      <w:r>
        <w:rPr>
          <w:rFonts w:ascii="Titillium" w:hAnsi="Titillium"/>
          <w:i/>
          <w:sz w:val="18"/>
          <w:szCs w:val="18"/>
          <w:lang w:eastAsia="it-IT"/>
        </w:rPr>
        <w:t>scegliere tra prezzo</w:t>
      </w:r>
      <w:r>
        <w:rPr>
          <w:rFonts w:ascii="Titillium" w:hAnsi="Titillium"/>
          <w:sz w:val="18"/>
          <w:szCs w:val="18"/>
          <w:lang w:eastAsia="it-IT"/>
        </w:rPr>
        <w:t xml:space="preserve"> </w:t>
      </w:r>
      <w:r>
        <w:rPr>
          <w:rFonts w:ascii="Titillium" w:hAnsi="Titillium"/>
          <w:i/>
          <w:sz w:val="18"/>
          <w:szCs w:val="18"/>
          <w:lang w:eastAsia="it-IT"/>
        </w:rPr>
        <w:t>o offerta tecnica].</w:t>
      </w:r>
    </w:p>
    <w:p w14:paraId="0BB1287D" w14:textId="06B5363E" w:rsidR="00276DF7" w:rsidRDefault="00276DF7" w:rsidP="00276DF7">
      <w:pPr>
        <w:shd w:val="clear" w:color="auto" w:fill="F2F2F2" w:themeFill="background1" w:themeFillShade="F2"/>
        <w:spacing w:before="60" w:after="60"/>
      </w:pPr>
      <w:r w:rsidRPr="0013560D">
        <w:rPr>
          <w:rFonts w:ascii="Titillium" w:hAnsi="Titillium" w:cs="Calibri"/>
          <w:sz w:val="18"/>
          <w:szCs w:val="18"/>
        </w:rPr>
        <w:t xml:space="preserve">Nel caso in cui le offerte di due o più concorrenti ottengano lo stesso punteggio complessivo e gli stessi punteggi parziali per il prezzo e per l’offerta tecnica, i predetti concorrenti, su richiesta della stazione appaltante, presentano un’offerta migliorativa sul prezzo entro … </w:t>
      </w:r>
      <w:r w:rsidRPr="0013560D">
        <w:rPr>
          <w:rFonts w:ascii="Titillium" w:hAnsi="Titillium" w:cs="Calibri"/>
          <w:i/>
          <w:sz w:val="18"/>
          <w:szCs w:val="18"/>
        </w:rPr>
        <w:t>[indicare il termine perentorio di presentazione dell’offerta migliorativa]</w:t>
      </w:r>
      <w:r w:rsidRPr="0013560D">
        <w:rPr>
          <w:rFonts w:ascii="Titillium" w:hAnsi="Titillium" w:cs="Calibri"/>
          <w:sz w:val="18"/>
          <w:szCs w:val="18"/>
        </w:rPr>
        <w:t>. La richiesta è</w:t>
      </w:r>
      <w:r w:rsidRPr="00A65180">
        <w:rPr>
          <w:rFonts w:ascii="Titillium" w:hAnsi="Titillium" w:cs="Calibri"/>
          <w:sz w:val="18"/>
          <w:szCs w:val="18"/>
        </w:rPr>
        <w:t xml:space="preserve"> effettuata secondo le modalità previste </w:t>
      </w:r>
      <w:r>
        <w:rPr>
          <w:rFonts w:ascii="Titillium" w:hAnsi="Titillium" w:cs="Calibri"/>
          <w:sz w:val="18"/>
          <w:szCs w:val="18"/>
        </w:rPr>
        <w:t xml:space="preserve">al punto </w:t>
      </w:r>
      <w:r>
        <w:rPr>
          <w:rFonts w:ascii="Titillium" w:hAnsi="Titillium" w:cs="Calibri"/>
          <w:sz w:val="18"/>
          <w:szCs w:val="18"/>
        </w:rPr>
        <w:fldChar w:fldCharType="begin"/>
      </w:r>
      <w:r>
        <w:rPr>
          <w:rFonts w:ascii="Titillium" w:hAnsi="Titillium" w:cs="Calibri"/>
          <w:sz w:val="18"/>
          <w:szCs w:val="18"/>
        </w:rPr>
        <w:instrText xml:space="preserve"> REF _Ref132304898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2.3</w:t>
      </w:r>
      <w:r>
        <w:rPr>
          <w:rFonts w:ascii="Titillium" w:hAnsi="Titillium" w:cs="Calibri"/>
          <w:sz w:val="18"/>
          <w:szCs w:val="18"/>
        </w:rPr>
        <w:fldChar w:fldCharType="end"/>
      </w:r>
      <w:r w:rsidRPr="00A65180">
        <w:rPr>
          <w:rFonts w:ascii="Titillium" w:hAnsi="Titillium" w:cs="Calibri"/>
          <w:sz w:val="18"/>
          <w:szCs w:val="18"/>
        </w:rPr>
        <w:t xml:space="preserve">. È collocato primo in graduatoria il concorrente che ha presentato la migliore offerta. Ove permanga l’ex aequo la commissione procede mediante </w:t>
      </w:r>
      <w:r>
        <w:rPr>
          <w:rFonts w:ascii="Titillium" w:hAnsi="Titillium" w:cs="Calibri"/>
          <w:sz w:val="18"/>
          <w:szCs w:val="18"/>
        </w:rPr>
        <w:t xml:space="preserve">sorteggio </w:t>
      </w:r>
      <w:r w:rsidRPr="00A65180">
        <w:rPr>
          <w:rFonts w:ascii="Titillium" w:hAnsi="Titillium"/>
          <w:sz w:val="18"/>
          <w:szCs w:val="18"/>
        </w:rPr>
        <w:t xml:space="preserve">ad individuare il concorrente che verrà collocato primo nella graduatoria. La stazione appaltante comunica il giorno e l’ora del sorteggio. secondo le modalità previste </w:t>
      </w:r>
      <w:r>
        <w:rPr>
          <w:rFonts w:ascii="Titillium" w:hAnsi="Titillium" w:cs="Calibri"/>
          <w:sz w:val="18"/>
          <w:szCs w:val="18"/>
        </w:rPr>
        <w:t xml:space="preserve">punto </w:t>
      </w:r>
      <w:r>
        <w:rPr>
          <w:rFonts w:ascii="Titillium" w:hAnsi="Titillium" w:cs="Calibri"/>
          <w:sz w:val="18"/>
          <w:szCs w:val="18"/>
        </w:rPr>
        <w:fldChar w:fldCharType="begin"/>
      </w:r>
      <w:r>
        <w:rPr>
          <w:rFonts w:ascii="Titillium" w:hAnsi="Titillium" w:cs="Calibri"/>
          <w:sz w:val="18"/>
          <w:szCs w:val="18"/>
        </w:rPr>
        <w:instrText xml:space="preserve"> REF _Ref132304898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2.3</w:t>
      </w:r>
      <w:r>
        <w:rPr>
          <w:rFonts w:ascii="Titillium" w:hAnsi="Titillium" w:cs="Calibri"/>
          <w:sz w:val="18"/>
          <w:szCs w:val="18"/>
        </w:rPr>
        <w:fldChar w:fldCharType="end"/>
      </w:r>
      <w:r w:rsidRPr="00A65180">
        <w:rPr>
          <w:rFonts w:ascii="Titillium" w:hAnsi="Titillium"/>
          <w:sz w:val="18"/>
          <w:szCs w:val="18"/>
        </w:rPr>
        <w:t>.</w:t>
      </w:r>
    </w:p>
    <w:p w14:paraId="266AED5F" w14:textId="70EE9B66" w:rsidR="00276DF7" w:rsidRDefault="00276DF7" w:rsidP="00276DF7">
      <w:pPr>
        <w:shd w:val="clear" w:color="auto" w:fill="F2F2F2" w:themeFill="background1" w:themeFillShade="F2"/>
        <w:spacing w:before="60" w:after="60"/>
        <w:rPr>
          <w:rFonts w:ascii="Titillium" w:hAnsi="Titillium" w:cs="Calibri"/>
          <w:sz w:val="18"/>
          <w:szCs w:val="18"/>
        </w:rPr>
      </w:pPr>
      <w:r w:rsidRPr="009B0C28">
        <w:rPr>
          <w:rFonts w:ascii="Titillium" w:hAnsi="Titillium" w:cs="Calibri"/>
          <w:sz w:val="18"/>
          <w:szCs w:val="18"/>
        </w:rPr>
        <w:t>La commissione giudicatrice rende</w:t>
      </w:r>
      <w:r>
        <w:rPr>
          <w:rFonts w:ascii="Titillium" w:hAnsi="Titillium" w:cs="Calibri"/>
          <w:sz w:val="18"/>
          <w:szCs w:val="18"/>
        </w:rPr>
        <w:t xml:space="preserve"> </w:t>
      </w:r>
      <w:r w:rsidRPr="009B0C28">
        <w:rPr>
          <w:rFonts w:ascii="Titillium" w:hAnsi="Titillium" w:cs="Calibri"/>
          <w:sz w:val="18"/>
          <w:szCs w:val="18"/>
        </w:rPr>
        <w:t xml:space="preserve">visibile ai concorrenti, con le modalità di cui all’articolo </w:t>
      </w:r>
      <w:r>
        <w:rPr>
          <w:rFonts w:ascii="Titillium" w:hAnsi="Titillium" w:cs="Calibri"/>
          <w:sz w:val="18"/>
          <w:szCs w:val="18"/>
        </w:rPr>
        <w:fldChar w:fldCharType="begin"/>
      </w:r>
      <w:r>
        <w:rPr>
          <w:rFonts w:ascii="Titillium" w:hAnsi="Titillium" w:cs="Calibri"/>
          <w:sz w:val="18"/>
          <w:szCs w:val="18"/>
        </w:rPr>
        <w:instrText xml:space="preserve"> REF _Ref130243943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20</w:t>
      </w:r>
      <w:r>
        <w:rPr>
          <w:rFonts w:ascii="Titillium" w:hAnsi="Titillium" w:cs="Calibri"/>
          <w:sz w:val="18"/>
          <w:szCs w:val="18"/>
        </w:rPr>
        <w:fldChar w:fldCharType="end"/>
      </w:r>
      <w:r w:rsidRPr="009B0C28">
        <w:rPr>
          <w:rFonts w:ascii="Titillium" w:hAnsi="Titillium" w:cs="Calibri"/>
          <w:sz w:val="18"/>
          <w:szCs w:val="18"/>
        </w:rPr>
        <w:t xml:space="preserve"> prezzi offerti.</w:t>
      </w:r>
    </w:p>
    <w:p w14:paraId="6F21248F" w14:textId="77777777" w:rsidR="00276DF7" w:rsidRDefault="00276DF7" w:rsidP="00276DF7">
      <w:pPr>
        <w:shd w:val="clear" w:color="auto" w:fill="F2F2F2" w:themeFill="background1" w:themeFillShade="F2"/>
        <w:spacing w:before="60" w:after="60"/>
      </w:pPr>
      <w:r>
        <w:rPr>
          <w:rFonts w:ascii="Titillium" w:hAnsi="Titillium" w:cs="Calibri"/>
          <w:sz w:val="18"/>
          <w:szCs w:val="18"/>
        </w:rPr>
        <w:t>All’esito delle operazioni di cui sopra, la commissione, redige la graduatoria.</w:t>
      </w:r>
    </w:p>
    <w:p w14:paraId="658473FD" w14:textId="77777777" w:rsidR="00276DF7" w:rsidRDefault="00276DF7" w:rsidP="00276DF7">
      <w:pPr>
        <w:shd w:val="clear" w:color="auto" w:fill="F2F2F2" w:themeFill="background1" w:themeFillShade="F2"/>
        <w:spacing w:before="60" w:after="60"/>
      </w:pPr>
    </w:p>
    <w:p w14:paraId="25629C6F" w14:textId="77777777" w:rsidR="00276DF7" w:rsidRDefault="00276DF7" w:rsidP="00276DF7">
      <w:pPr>
        <w:shd w:val="clear" w:color="auto" w:fill="F2F2F2" w:themeFill="background1" w:themeFillShade="F2"/>
        <w:spacing w:before="60" w:after="60"/>
      </w:pPr>
      <w:r>
        <w:rPr>
          <w:rFonts w:ascii="Titillium" w:hAnsi="Titillium" w:cs="Calibri"/>
          <w:sz w:val="18"/>
          <w:szCs w:val="18"/>
        </w:rPr>
        <w:t>L’offerta è esclusa in caso di:</w:t>
      </w:r>
    </w:p>
    <w:p w14:paraId="53181AE6" w14:textId="77777777" w:rsidR="00276DF7" w:rsidRDefault="00276DF7" w:rsidP="00276DF7">
      <w:pPr>
        <w:pStyle w:val="Paragrafoelenco"/>
        <w:numPr>
          <w:ilvl w:val="0"/>
          <w:numId w:val="35"/>
        </w:numPr>
        <w:shd w:val="clear" w:color="auto" w:fill="F2F2F2" w:themeFill="background1" w:themeFillShade="F2"/>
        <w:spacing w:before="60" w:after="60"/>
        <w:ind w:left="426"/>
        <w:rPr>
          <w:rFonts w:ascii="Titillium" w:hAnsi="Titillium" w:cs="Calibri"/>
          <w:sz w:val="18"/>
          <w:szCs w:val="18"/>
        </w:rPr>
      </w:pPr>
      <w:r>
        <w:rPr>
          <w:rFonts w:ascii="Titillium" w:hAnsi="Titillium" w:cs="Calibri"/>
          <w:sz w:val="18"/>
          <w:szCs w:val="18"/>
        </w:rPr>
        <w:t>mancata separazione dell’offerta economica dall’offerta tecnica, ovvero inserimento di elementi concernenti il prezzo nella documentazione amministrativa o nell’offerta tecnica;</w:t>
      </w:r>
    </w:p>
    <w:p w14:paraId="5ECCDBD2" w14:textId="77777777" w:rsidR="00276DF7" w:rsidRDefault="00276DF7" w:rsidP="00276DF7">
      <w:pPr>
        <w:pStyle w:val="Paragrafoelenco"/>
        <w:numPr>
          <w:ilvl w:val="0"/>
          <w:numId w:val="35"/>
        </w:numPr>
        <w:shd w:val="clear" w:color="auto" w:fill="F2F2F2" w:themeFill="background1" w:themeFillShade="F2"/>
        <w:spacing w:before="60" w:after="60"/>
        <w:ind w:left="426"/>
      </w:pPr>
      <w:r>
        <w:rPr>
          <w:rFonts w:ascii="Titillium" w:hAnsi="Titillium" w:cs="Calibri"/>
          <w:sz w:val="18"/>
          <w:szCs w:val="18"/>
        </w:rPr>
        <w:t>presentazione di</w:t>
      </w:r>
      <w:r>
        <w:rPr>
          <w:rFonts w:ascii="Titillium" w:hAnsi="Titillium" w:cs="Calibri"/>
          <w:b/>
          <w:sz w:val="18"/>
          <w:szCs w:val="18"/>
        </w:rPr>
        <w:t xml:space="preserve"> </w:t>
      </w:r>
      <w:r>
        <w:rPr>
          <w:rFonts w:ascii="Titillium" w:hAnsi="Titillium" w:cs="Calibri"/>
          <w:sz w:val="18"/>
          <w:szCs w:val="18"/>
        </w:rPr>
        <w:t>offerte parziali, plurime, condizionate, alternative oppure irregolari in quanto non rispettano i documenti di gara, ivi comprese le specifiche tecniche, o anormalmente basse;</w:t>
      </w:r>
    </w:p>
    <w:p w14:paraId="7419E133" w14:textId="77777777" w:rsidR="00276DF7" w:rsidRDefault="00276DF7" w:rsidP="00276DF7">
      <w:pPr>
        <w:pStyle w:val="Paragrafoelenco"/>
        <w:numPr>
          <w:ilvl w:val="0"/>
          <w:numId w:val="35"/>
        </w:numPr>
        <w:shd w:val="clear" w:color="auto" w:fill="F2F2F2" w:themeFill="background1" w:themeFillShade="F2"/>
        <w:spacing w:before="60" w:after="60"/>
        <w:ind w:left="426"/>
        <w:rPr>
          <w:rFonts w:ascii="Titillium" w:hAnsi="Titillium" w:cs="Calibri"/>
          <w:sz w:val="18"/>
          <w:szCs w:val="18"/>
        </w:rPr>
      </w:pPr>
      <w:r>
        <w:rPr>
          <w:rFonts w:ascii="Titillium" w:hAnsi="Titillium" w:cs="Calibri"/>
          <w:sz w:val="18"/>
          <w:szCs w:val="18"/>
        </w:rPr>
        <w:t>presentazione di offerte inammissibili in quanto la commissione giudicatrice ha ritenuto sussistenti gli estremi per l’informativa alla Procura della Repubblica per reati di corruzione o fenomeni collusivi o ha verificato essere in aumento rispetto all’importo a base di gara;</w:t>
      </w:r>
    </w:p>
    <w:p w14:paraId="1FE16088" w14:textId="77777777" w:rsidR="00276DF7" w:rsidRPr="00F2716E" w:rsidRDefault="00276DF7" w:rsidP="00276DF7">
      <w:pPr>
        <w:pStyle w:val="Paragrafoelenco"/>
        <w:numPr>
          <w:ilvl w:val="0"/>
          <w:numId w:val="35"/>
        </w:numPr>
        <w:shd w:val="clear" w:color="auto" w:fill="F2F2F2" w:themeFill="background1" w:themeFillShade="F2"/>
        <w:spacing w:before="60" w:after="60"/>
        <w:ind w:left="426"/>
      </w:pPr>
      <w:r w:rsidRPr="002B7172">
        <w:rPr>
          <w:rFonts w:ascii="Titillium" w:hAnsi="Titillium" w:cs="Calibri"/>
          <w:b/>
          <w:i/>
          <w:sz w:val="18"/>
          <w:szCs w:val="18"/>
        </w:rPr>
        <w:t xml:space="preserve">[Facoltativo in caso di mancato superamento della soglia di sbarramento] </w:t>
      </w:r>
      <w:r>
        <w:rPr>
          <w:rFonts w:ascii="Titillium" w:hAnsi="Titillium" w:cs="Calibri"/>
          <w:sz w:val="18"/>
          <w:szCs w:val="18"/>
        </w:rPr>
        <w:t>m</w:t>
      </w:r>
      <w:r w:rsidRPr="003762B8">
        <w:rPr>
          <w:rFonts w:ascii="Titillium" w:hAnsi="Titillium" w:cs="Calibri"/>
          <w:sz w:val="18"/>
          <w:szCs w:val="18"/>
        </w:rPr>
        <w:t>ancato superamento</w:t>
      </w:r>
      <w:r w:rsidRPr="00006719">
        <w:rPr>
          <w:rFonts w:ascii="Titillium" w:hAnsi="Titillium" w:cs="Calibri"/>
          <w:sz w:val="18"/>
          <w:szCs w:val="18"/>
        </w:rPr>
        <w:t xml:space="preserve"> della soglia di sbarramento per l’offerta tecnica. </w:t>
      </w:r>
    </w:p>
    <w:p w14:paraId="244116C0" w14:textId="77777777" w:rsidR="00276DF7" w:rsidRDefault="00276DF7" w:rsidP="00276DF7">
      <w:pPr>
        <w:pStyle w:val="Titolo2"/>
        <w:numPr>
          <w:ilvl w:val="0"/>
          <w:numId w:val="4"/>
        </w:numPr>
        <w:shd w:val="clear" w:color="auto" w:fill="F2F2F2" w:themeFill="background1" w:themeFillShade="F2"/>
        <w:ind w:left="357" w:hanging="357"/>
        <w:rPr>
          <w:rFonts w:ascii="Titillium" w:hAnsi="Titillium"/>
          <w:sz w:val="18"/>
          <w:szCs w:val="18"/>
        </w:rPr>
      </w:pPr>
      <w:bookmarkStart w:id="2116" w:name="_Toc381775856"/>
      <w:bookmarkStart w:id="2117" w:name="_Toc485218335"/>
      <w:bookmarkStart w:id="2118" w:name="_Toc484688900"/>
      <w:bookmarkStart w:id="2119" w:name="_Toc484688345"/>
      <w:bookmarkStart w:id="2120" w:name="_Toc484605476"/>
      <w:bookmarkStart w:id="2121" w:name="_Toc484605352"/>
      <w:bookmarkStart w:id="2122" w:name="_Toc484526632"/>
      <w:bookmarkStart w:id="2123" w:name="_Toc484449137"/>
      <w:bookmarkStart w:id="2124" w:name="_Toc484449013"/>
      <w:bookmarkStart w:id="2125" w:name="_Toc484448889"/>
      <w:bookmarkStart w:id="2126" w:name="_Toc484448766"/>
      <w:bookmarkStart w:id="2127" w:name="_Toc484448642"/>
      <w:bookmarkStart w:id="2128" w:name="_Toc484448518"/>
      <w:bookmarkStart w:id="2129" w:name="_Toc484448394"/>
      <w:bookmarkStart w:id="2130" w:name="_Toc484448270"/>
      <w:bookmarkStart w:id="2131" w:name="_Toc484448146"/>
      <w:bookmarkStart w:id="2132" w:name="_Toc484440486"/>
      <w:bookmarkStart w:id="2133" w:name="_Toc484440126"/>
      <w:bookmarkStart w:id="2134" w:name="_Toc484440002"/>
      <w:bookmarkStart w:id="2135" w:name="_Toc484439879"/>
      <w:bookmarkStart w:id="2136" w:name="_Toc484438959"/>
      <w:bookmarkStart w:id="2137" w:name="_Toc484438835"/>
      <w:bookmarkStart w:id="2138" w:name="_Toc484438711"/>
      <w:bookmarkStart w:id="2139" w:name="_Toc484429136"/>
      <w:bookmarkStart w:id="2140" w:name="_Toc484428966"/>
      <w:bookmarkStart w:id="2141" w:name="_Toc484097792"/>
      <w:bookmarkStart w:id="2142" w:name="_Toc484011718"/>
      <w:bookmarkStart w:id="2143" w:name="_Toc484011243"/>
      <w:bookmarkStart w:id="2144" w:name="_Toc484011121"/>
      <w:bookmarkStart w:id="2145" w:name="_Toc484010999"/>
      <w:bookmarkStart w:id="2146" w:name="_Toc484010875"/>
      <w:bookmarkStart w:id="2147" w:name="_Toc484010753"/>
      <w:bookmarkStart w:id="2148" w:name="_Toc483907003"/>
      <w:bookmarkStart w:id="2149" w:name="_Toc3539903981"/>
      <w:bookmarkStart w:id="2150" w:name="_Toc381776132"/>
      <w:bookmarkStart w:id="2151" w:name="_Toc416423376"/>
      <w:bookmarkStart w:id="2152" w:name="_Toc406754193"/>
      <w:bookmarkStart w:id="2153" w:name="_Toc406058392"/>
      <w:bookmarkStart w:id="2154" w:name="_Toc403471284"/>
      <w:bookmarkStart w:id="2155" w:name="_Toc397422877"/>
      <w:bookmarkStart w:id="2156" w:name="_Toc397346836"/>
      <w:bookmarkStart w:id="2157" w:name="_Toc393706921"/>
      <w:bookmarkStart w:id="2158" w:name="_Toc393700848"/>
      <w:bookmarkStart w:id="2159" w:name="_Toc393283189"/>
      <w:bookmarkStart w:id="2160" w:name="_Toc393272673"/>
      <w:bookmarkStart w:id="2161" w:name="_Toc393272615"/>
      <w:bookmarkStart w:id="2162" w:name="_Toc393187859"/>
      <w:bookmarkStart w:id="2163" w:name="_Toc393112142"/>
      <w:bookmarkStart w:id="2164" w:name="_Toc393110578"/>
      <w:bookmarkStart w:id="2165" w:name="_Toc392577511"/>
      <w:bookmarkStart w:id="2166" w:name="_Toc391036070"/>
      <w:bookmarkStart w:id="2167" w:name="_Toc391035997"/>
      <w:bookmarkStart w:id="2168" w:name="_Toc380501884"/>
      <w:bookmarkStart w:id="2169" w:name="_Toc139549453"/>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r>
        <w:rPr>
          <w:rFonts w:ascii="Titillium" w:hAnsi="Titillium"/>
          <w:sz w:val="18"/>
          <w:szCs w:val="18"/>
        </w:rPr>
        <w:t>VERIFICA DI ANOMALIA DELLE OFFERTE</w:t>
      </w:r>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14:paraId="70129951" w14:textId="77777777" w:rsidR="00276DF7" w:rsidRPr="0070439A" w:rsidRDefault="00276DF7" w:rsidP="00276DF7">
      <w:pPr>
        <w:shd w:val="clear" w:color="auto" w:fill="F2F2F2" w:themeFill="background1" w:themeFillShade="F2"/>
        <w:spacing w:before="60" w:after="60"/>
        <w:rPr>
          <w:rFonts w:ascii="Titillium" w:hAnsi="Titillium" w:cs="Calibri"/>
          <w:b/>
          <w:bCs/>
          <w:i/>
          <w:iCs/>
          <w:sz w:val="18"/>
          <w:szCs w:val="18"/>
        </w:rPr>
      </w:pPr>
      <w:r>
        <w:rPr>
          <w:rFonts w:ascii="Titillium" w:hAnsi="Titillium" w:cs="Calibri"/>
          <w:b/>
          <w:bCs/>
          <w:i/>
          <w:iCs/>
          <w:sz w:val="18"/>
          <w:szCs w:val="18"/>
        </w:rPr>
        <w:t>[</w:t>
      </w:r>
      <w:r w:rsidRPr="0070439A">
        <w:rPr>
          <w:rFonts w:ascii="Titillium" w:hAnsi="Titillium" w:cs="Calibri"/>
          <w:b/>
          <w:bCs/>
          <w:i/>
          <w:iCs/>
          <w:sz w:val="18"/>
          <w:szCs w:val="18"/>
        </w:rPr>
        <w:t xml:space="preserve">Se la stazione appaltante ricorre all’inversione procedimentale e intende procedere prima alla verifica della documentazione amministrativa e dopo alla verifica dell’anomalia delle offerte il presente articolo deve </w:t>
      </w:r>
      <w:r>
        <w:rPr>
          <w:rFonts w:ascii="Titillium" w:hAnsi="Titillium" w:cs="Calibri"/>
          <w:b/>
          <w:bCs/>
          <w:i/>
          <w:iCs/>
          <w:sz w:val="18"/>
          <w:szCs w:val="18"/>
        </w:rPr>
        <w:t>inserito dopo il successivo]</w:t>
      </w:r>
    </w:p>
    <w:p w14:paraId="1490A2E7" w14:textId="77777777" w:rsidR="00276DF7" w:rsidRDefault="00276DF7" w:rsidP="00276DF7">
      <w:pPr>
        <w:shd w:val="clear" w:color="auto" w:fill="F2F2F2" w:themeFill="background1" w:themeFillShade="F2"/>
        <w:spacing w:before="60" w:after="60"/>
        <w:rPr>
          <w:rFonts w:ascii="Titillium" w:hAnsi="Titillium" w:cs="Calibri"/>
          <w:i/>
          <w:iCs/>
          <w:sz w:val="18"/>
          <w:szCs w:val="18"/>
        </w:rPr>
      </w:pPr>
      <w:r>
        <w:rPr>
          <w:rFonts w:ascii="Titillium" w:hAnsi="Titillium" w:cs="Calibri"/>
          <w:sz w:val="18"/>
          <w:szCs w:val="18"/>
        </w:rPr>
        <w:t xml:space="preserve">Sono considerate anormalmente basse le offerte che …. </w:t>
      </w:r>
      <w:r w:rsidRPr="005F2F86">
        <w:rPr>
          <w:rFonts w:ascii="Titillium" w:hAnsi="Titillium" w:cs="Calibri"/>
          <w:i/>
          <w:iCs/>
          <w:sz w:val="18"/>
          <w:szCs w:val="18"/>
        </w:rPr>
        <w:t xml:space="preserve">[la stazione appaltante indica </w:t>
      </w:r>
      <w:r>
        <w:rPr>
          <w:rFonts w:ascii="Titillium" w:hAnsi="Titillium" w:cs="Calibri"/>
          <w:i/>
          <w:iCs/>
          <w:sz w:val="18"/>
          <w:szCs w:val="18"/>
        </w:rPr>
        <w:t xml:space="preserve">gli elementi specifici o i criteri/parametri in base ai quali ritiene </w:t>
      </w:r>
      <w:r w:rsidRPr="005F2F86">
        <w:rPr>
          <w:rFonts w:ascii="Titillium" w:hAnsi="Titillium" w:cs="Calibri"/>
          <w:i/>
          <w:iCs/>
          <w:sz w:val="18"/>
          <w:szCs w:val="18"/>
        </w:rPr>
        <w:t>anormalmente bass</w:t>
      </w:r>
      <w:r>
        <w:rPr>
          <w:rFonts w:ascii="Titillium" w:hAnsi="Titillium" w:cs="Calibri"/>
          <w:i/>
          <w:iCs/>
          <w:sz w:val="18"/>
          <w:szCs w:val="18"/>
        </w:rPr>
        <w:t>a un’offerta</w:t>
      </w:r>
      <w:r w:rsidRPr="005F2F86">
        <w:rPr>
          <w:rFonts w:ascii="Titillium" w:hAnsi="Titillium" w:cs="Calibri"/>
          <w:i/>
          <w:iCs/>
          <w:sz w:val="18"/>
          <w:szCs w:val="18"/>
        </w:rPr>
        <w:t>].</w:t>
      </w:r>
    </w:p>
    <w:p w14:paraId="0BC62FBE" w14:textId="77777777" w:rsidR="00276DF7" w:rsidRPr="00045B07" w:rsidRDefault="00276DF7" w:rsidP="00276DF7">
      <w:pPr>
        <w:shd w:val="clear" w:color="auto" w:fill="F2F2F2" w:themeFill="background1" w:themeFillShade="F2"/>
        <w:spacing w:before="60" w:after="60"/>
      </w:pPr>
      <w:r w:rsidRPr="00656BEE">
        <w:rPr>
          <w:rFonts w:ascii="Titillium" w:hAnsi="Titillium" w:cs="Calibri"/>
          <w:i/>
          <w:iCs/>
          <w:sz w:val="18"/>
          <w:szCs w:val="18"/>
        </w:rPr>
        <w:t xml:space="preserve">[Facoltativo] </w:t>
      </w:r>
      <w:r w:rsidRPr="00C972FF">
        <w:rPr>
          <w:rFonts w:ascii="Titillium" w:hAnsi="Titillium" w:cs="Calibri"/>
          <w:sz w:val="18"/>
          <w:szCs w:val="18"/>
        </w:rPr>
        <w:t>La stazione appaltante si riserva la facoltà di sottoporre a verifica un’offerta che, in base anche ad altri ad elementi</w:t>
      </w:r>
      <w:r>
        <w:rPr>
          <w:rFonts w:ascii="Titillium" w:hAnsi="Titillium" w:cs="Calibri"/>
          <w:sz w:val="18"/>
          <w:szCs w:val="18"/>
        </w:rPr>
        <w:t xml:space="preserve">, ivi inclusi i costi della manodopera, </w:t>
      </w:r>
      <w:r w:rsidRPr="00C972FF">
        <w:rPr>
          <w:rFonts w:ascii="Titillium" w:hAnsi="Titillium" w:cs="Calibri"/>
          <w:sz w:val="18"/>
          <w:szCs w:val="18"/>
        </w:rPr>
        <w:t>appaia anormalmente bassa</w:t>
      </w:r>
      <w:r>
        <w:rPr>
          <w:rFonts w:ascii="Titillium" w:hAnsi="Titillium" w:cs="Calibri"/>
          <w:sz w:val="18"/>
          <w:szCs w:val="18"/>
        </w:rPr>
        <w:t>.</w:t>
      </w:r>
    </w:p>
    <w:p w14:paraId="4D224BDD"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Nel caso in cui la prima migliore offerta appaia anormalmente bassa, il RUP </w:t>
      </w:r>
      <w:r>
        <w:rPr>
          <w:rFonts w:ascii="Titillium" w:hAnsi="Titillium" w:cs="Calibri"/>
          <w:i/>
          <w:sz w:val="18"/>
          <w:szCs w:val="18"/>
        </w:rPr>
        <w:t>[</w:t>
      </w:r>
      <w:r w:rsidRPr="00254D96">
        <w:rPr>
          <w:rFonts w:ascii="Titillium" w:hAnsi="Titillium" w:cs="Calibri"/>
          <w:b/>
          <w:i/>
          <w:sz w:val="18"/>
          <w:szCs w:val="18"/>
        </w:rPr>
        <w:t>F</w:t>
      </w:r>
      <w:r>
        <w:rPr>
          <w:rFonts w:ascii="Titillium" w:hAnsi="Titillium" w:cs="Calibri"/>
          <w:b/>
          <w:i/>
          <w:sz w:val="18"/>
          <w:szCs w:val="18"/>
        </w:rPr>
        <w:t>acoltativo:</w:t>
      </w:r>
      <w:r>
        <w:rPr>
          <w:rFonts w:ascii="Titillium" w:hAnsi="Titillium" w:cs="Calibri"/>
          <w:sz w:val="18"/>
          <w:szCs w:val="18"/>
        </w:rPr>
        <w:t xml:space="preserve"> “</w:t>
      </w:r>
      <w:r w:rsidRPr="00C87621">
        <w:rPr>
          <w:rFonts w:ascii="Titillium" w:hAnsi="Titillium" w:cs="Calibri"/>
          <w:iCs/>
          <w:sz w:val="18"/>
          <w:szCs w:val="18"/>
        </w:rPr>
        <w:t>avvalendosi di …”</w:t>
      </w:r>
      <w:r w:rsidRPr="00994C0B">
        <w:rPr>
          <w:rFonts w:ascii="Titillium" w:hAnsi="Titillium" w:cs="Calibri"/>
          <w:i/>
          <w:sz w:val="18"/>
          <w:szCs w:val="18"/>
        </w:rPr>
        <w:t xml:space="preserve"> indicare se commissione giudicatrice o struttura di supporto istituita ad hoc</w:t>
      </w:r>
      <w:r w:rsidRPr="00B6737B">
        <w:rPr>
          <w:rFonts w:ascii="Titillium" w:hAnsi="Titillium" w:cs="Calibri"/>
          <w:i/>
          <w:sz w:val="18"/>
          <w:szCs w:val="18"/>
        </w:rPr>
        <w:t>]</w:t>
      </w:r>
      <w:r>
        <w:rPr>
          <w:rFonts w:ascii="Titillium" w:hAnsi="Titillium" w:cs="Calibri"/>
          <w:sz w:val="18"/>
          <w:szCs w:val="18"/>
        </w:rPr>
        <w:t xml:space="preserve"> ne valuta la congruità, serietà, sostenibilità e realizzabilità.</w:t>
      </w:r>
    </w:p>
    <w:p w14:paraId="37C52DD5"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Qualora tale offerta risulti anomala, si procede con le stesse modalità nei confronti delle successive offerte ritenute </w:t>
      </w:r>
      <w:r w:rsidRPr="00A676A9">
        <w:rPr>
          <w:rFonts w:ascii="Titillium" w:hAnsi="Titillium" w:cs="Calibri"/>
          <w:sz w:val="18"/>
          <w:szCs w:val="18"/>
        </w:rPr>
        <w:t>anormalmente basse,</w:t>
      </w:r>
      <w:r>
        <w:rPr>
          <w:rFonts w:ascii="Titillium" w:hAnsi="Titillium" w:cs="Calibri"/>
          <w:sz w:val="18"/>
          <w:szCs w:val="18"/>
        </w:rPr>
        <w:t xml:space="preserve"> fino ad individuare la migliore offerta ritenuta non anomala. </w:t>
      </w:r>
    </w:p>
    <w:p w14:paraId="227C2856" w14:textId="77777777" w:rsidR="00276DF7" w:rsidRPr="006067BD" w:rsidRDefault="00276DF7" w:rsidP="00276DF7">
      <w:pPr>
        <w:pStyle w:val="Standard"/>
        <w:shd w:val="clear" w:color="auto" w:fill="F2F2F2" w:themeFill="background1" w:themeFillShade="F2"/>
        <w:tabs>
          <w:tab w:val="left" w:pos="0"/>
          <w:tab w:val="left" w:pos="4340"/>
        </w:tabs>
        <w:spacing w:before="60" w:after="60" w:line="240" w:lineRule="auto"/>
        <w:jc w:val="both"/>
        <w:rPr>
          <w:rFonts w:ascii="Titillium" w:hAnsi="Titillium"/>
          <w:sz w:val="20"/>
        </w:rPr>
      </w:pPr>
      <w:r w:rsidRPr="00331144">
        <w:rPr>
          <w:rFonts w:ascii="Titillium" w:eastAsia="Times New Roman" w:hAnsi="Titillium" w:cs="Calibri"/>
          <w:b/>
          <w:bCs/>
          <w:i/>
          <w:sz w:val="18"/>
          <w:szCs w:val="18"/>
        </w:rPr>
        <w:t>[Facoltativo]</w:t>
      </w:r>
      <w:r w:rsidRPr="006067BD">
        <w:rPr>
          <w:rFonts w:ascii="Titillium" w:eastAsia="Times New Roman" w:hAnsi="Titillium" w:cs="Calibri"/>
          <w:sz w:val="18"/>
          <w:szCs w:val="18"/>
        </w:rPr>
        <w:t xml:space="preserve"> </w:t>
      </w:r>
      <w:r>
        <w:rPr>
          <w:rFonts w:ascii="Titillium" w:eastAsia="Times New Roman" w:hAnsi="Titillium" w:cs="Calibri"/>
          <w:sz w:val="18"/>
          <w:szCs w:val="18"/>
        </w:rPr>
        <w:t>Il</w:t>
      </w:r>
      <w:r w:rsidRPr="006067BD">
        <w:rPr>
          <w:rFonts w:ascii="Titillium" w:eastAsia="Times New Roman" w:hAnsi="Titillium" w:cs="Calibri"/>
          <w:sz w:val="18"/>
          <w:szCs w:val="18"/>
        </w:rPr>
        <w:t xml:space="preserve"> concorrente </w:t>
      </w:r>
      <w:r>
        <w:rPr>
          <w:rFonts w:ascii="Titillium" w:eastAsia="Times New Roman" w:hAnsi="Titillium" w:cs="Calibri"/>
          <w:sz w:val="18"/>
          <w:szCs w:val="18"/>
        </w:rPr>
        <w:t>allega</w:t>
      </w:r>
      <w:r w:rsidRPr="006067BD">
        <w:rPr>
          <w:rFonts w:ascii="Titillium" w:eastAsia="Times New Roman" w:hAnsi="Titillium" w:cs="Calibri"/>
          <w:sz w:val="18"/>
          <w:szCs w:val="18"/>
        </w:rPr>
        <w:t xml:space="preserve">, in sede di presentazione dell’offerta economica, </w:t>
      </w:r>
      <w:r>
        <w:rPr>
          <w:rFonts w:ascii="Titillium" w:eastAsia="Times New Roman" w:hAnsi="Titillium" w:cs="Calibri"/>
          <w:iCs/>
          <w:sz w:val="18"/>
          <w:szCs w:val="18"/>
        </w:rPr>
        <w:t>le</w:t>
      </w:r>
      <w:r w:rsidRPr="006067BD">
        <w:rPr>
          <w:rFonts w:ascii="Titillium" w:eastAsia="Times New Roman" w:hAnsi="Titillium" w:cs="Calibri"/>
          <w:iCs/>
          <w:sz w:val="18"/>
          <w:szCs w:val="18"/>
        </w:rPr>
        <w:t xml:space="preserve"> giustificazioni relative alle voci di prezzo e di costo.</w:t>
      </w:r>
      <w:r w:rsidRPr="006067BD">
        <w:rPr>
          <w:rFonts w:ascii="Titillium" w:eastAsia="Times New Roman" w:hAnsi="Titillium" w:cs="Calibri"/>
          <w:sz w:val="18"/>
          <w:szCs w:val="18"/>
        </w:rPr>
        <w:t xml:space="preserve"> La mancata presentazione anticipata delle giustificazioni non è causa di esclusione. </w:t>
      </w:r>
    </w:p>
    <w:p w14:paraId="10242A8F"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Il RUP richiede al concorrente la presentazione delle spiegazioni, se del caso, indicando le componenti specifiche dell’offerta ritenute anomale.</w:t>
      </w:r>
    </w:p>
    <w:p w14:paraId="56817615"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A tal fine, assegna un termine non superiore a quindici giorni dal ricevimento della richiesta.</w:t>
      </w:r>
    </w:p>
    <w:p w14:paraId="3F9BDE11"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Il RUP, </w:t>
      </w:r>
      <w:r w:rsidRPr="00EE681D">
        <w:rPr>
          <w:rFonts w:ascii="Titillium" w:hAnsi="Titillium" w:cs="Calibri"/>
          <w:sz w:val="18"/>
          <w:szCs w:val="18"/>
        </w:rPr>
        <w:t>esamina</w:t>
      </w:r>
      <w:r>
        <w:rPr>
          <w:rFonts w:ascii="Titillium" w:hAnsi="Titillium" w:cs="Calibri"/>
          <w:sz w:val="18"/>
          <w:szCs w:val="18"/>
        </w:rPr>
        <w:t>te</w:t>
      </w:r>
      <w:r w:rsidRPr="00EE681D">
        <w:rPr>
          <w:rFonts w:ascii="Titillium" w:hAnsi="Titillium" w:cs="Calibri"/>
          <w:sz w:val="18"/>
          <w:szCs w:val="18"/>
        </w:rPr>
        <w:t xml:space="preserve"> le spiegazioni fornite dall’offerente</w:t>
      </w:r>
      <w:r>
        <w:rPr>
          <w:rFonts w:ascii="Titillium" w:hAnsi="Titillium" w:cs="Calibri"/>
          <w:sz w:val="18"/>
          <w:szCs w:val="18"/>
        </w:rPr>
        <w:t>,</w:t>
      </w:r>
      <w:r w:rsidRPr="00EE681D">
        <w:rPr>
          <w:rFonts w:ascii="Titillium" w:hAnsi="Titillium" w:cs="Calibri"/>
          <w:sz w:val="18"/>
          <w:szCs w:val="18"/>
        </w:rPr>
        <w:t xml:space="preserve"> ove le ritenga non sufficienti ad escludere l’anomalia, può chiedere, anche mediante audizione orale, ulteriori chiarimenti, assegnando un termine </w:t>
      </w:r>
      <w:r>
        <w:rPr>
          <w:rFonts w:ascii="Titillium" w:hAnsi="Titillium" w:cs="Calibri"/>
          <w:sz w:val="18"/>
          <w:szCs w:val="18"/>
        </w:rPr>
        <w:t>perentorio per il riscontro.</w:t>
      </w:r>
    </w:p>
    <w:p w14:paraId="59A3153B"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Il RUP esclude le offerte che, in base all’esame degli elementi forniti con le spiegazioni risultino, nel complesso, inaffidabili.</w:t>
      </w:r>
    </w:p>
    <w:p w14:paraId="60725737" w14:textId="77777777" w:rsidR="00276DF7" w:rsidRPr="006F7F3E" w:rsidRDefault="00276DF7" w:rsidP="00276DF7">
      <w:pPr>
        <w:pStyle w:val="Titolo2"/>
        <w:numPr>
          <w:ilvl w:val="0"/>
          <w:numId w:val="27"/>
        </w:numPr>
        <w:shd w:val="clear" w:color="auto" w:fill="F2F2F2" w:themeFill="background1" w:themeFillShade="F2"/>
        <w:spacing w:before="240" w:after="0"/>
      </w:pPr>
      <w:bookmarkStart w:id="2170" w:name="_Toc139549454"/>
      <w:r>
        <w:rPr>
          <w:rFonts w:ascii="Titillium" w:eastAsia="SimSun" w:hAnsi="Titillium" w:cs="Calibri"/>
          <w:sz w:val="18"/>
          <w:szCs w:val="18"/>
          <w:lang w:val="it-IT"/>
        </w:rPr>
        <w:lastRenderedPageBreak/>
        <w:t>VERIFICA DELLA DOCUMENTAZIONE AMMINISTRATIVA</w:t>
      </w:r>
      <w:bookmarkEnd w:id="2170"/>
      <w:r>
        <w:rPr>
          <w:rFonts w:ascii="Titillium" w:eastAsia="SimSun" w:hAnsi="Titillium" w:cs="Calibri"/>
          <w:sz w:val="18"/>
          <w:szCs w:val="18"/>
          <w:lang w:val="it-IT"/>
        </w:rPr>
        <w:t xml:space="preserve"> </w:t>
      </w:r>
    </w:p>
    <w:p w14:paraId="1D88D092" w14:textId="77777777" w:rsidR="00276DF7" w:rsidRPr="006F7F3E" w:rsidRDefault="00276DF7" w:rsidP="00276DF7">
      <w:pPr>
        <w:shd w:val="clear" w:color="auto" w:fill="F2F2F2" w:themeFill="background1" w:themeFillShade="F2"/>
        <w:rPr>
          <w:rFonts w:ascii="Titillium" w:eastAsia="SimSun" w:hAnsi="Titillium"/>
          <w:b/>
          <w:bCs/>
          <w:i/>
          <w:iCs/>
          <w:sz w:val="18"/>
          <w:szCs w:val="18"/>
        </w:rPr>
      </w:pPr>
      <w:r w:rsidRPr="006F7F3E">
        <w:rPr>
          <w:rFonts w:ascii="Titillium" w:eastAsia="SimSun" w:hAnsi="Titillium"/>
          <w:b/>
          <w:bCs/>
          <w:i/>
          <w:iCs/>
          <w:sz w:val="18"/>
          <w:szCs w:val="18"/>
        </w:rPr>
        <w:t>[</w:t>
      </w:r>
      <w:r>
        <w:rPr>
          <w:rFonts w:ascii="Titillium" w:eastAsia="SimSun" w:hAnsi="Titillium" w:cs="Calibri"/>
          <w:b/>
          <w:i/>
          <w:sz w:val="18"/>
          <w:szCs w:val="18"/>
        </w:rPr>
        <w:t>Eliminare questo articolo se non si ricorre all’inversione procedimentale</w:t>
      </w:r>
      <w:r>
        <w:rPr>
          <w:rFonts w:ascii="Titillium" w:eastAsia="SimSun" w:hAnsi="Titillium"/>
          <w:b/>
          <w:bCs/>
          <w:i/>
          <w:iCs/>
          <w:sz w:val="18"/>
          <w:szCs w:val="18"/>
        </w:rPr>
        <w:t>]</w:t>
      </w:r>
      <w:r w:rsidRPr="006F7F3E">
        <w:rPr>
          <w:rFonts w:ascii="Titillium" w:eastAsia="SimSun" w:hAnsi="Titillium"/>
          <w:b/>
          <w:bCs/>
          <w:i/>
          <w:iCs/>
          <w:sz w:val="18"/>
          <w:szCs w:val="18"/>
        </w:rPr>
        <w:t xml:space="preserve"> </w:t>
      </w:r>
    </w:p>
    <w:p w14:paraId="24B6209F" w14:textId="77777777" w:rsidR="00276DF7" w:rsidRPr="0035693B" w:rsidRDefault="00276DF7" w:rsidP="00276DF7">
      <w:pPr>
        <w:shd w:val="clear" w:color="auto" w:fill="F2F2F2" w:themeFill="background1" w:themeFillShade="F2"/>
        <w:spacing w:before="60" w:after="60"/>
        <w:rPr>
          <w:rFonts w:ascii="Titillium" w:eastAsia="SimSun" w:hAnsi="Titillium"/>
          <w:sz w:val="18"/>
          <w:szCs w:val="18"/>
        </w:rPr>
      </w:pPr>
      <w:r w:rsidRPr="0035693B">
        <w:rPr>
          <w:rFonts w:ascii="Titillium" w:eastAsia="SimSun" w:hAnsi="Titillium"/>
          <w:sz w:val="18"/>
          <w:szCs w:val="18"/>
        </w:rPr>
        <w:t xml:space="preserve">Il/La … </w:t>
      </w:r>
      <w:r w:rsidRPr="0035693B">
        <w:rPr>
          <w:rFonts w:ascii="Titillium" w:eastAsia="SimSun" w:hAnsi="Titillium"/>
          <w:i/>
          <w:sz w:val="18"/>
          <w:szCs w:val="18"/>
        </w:rPr>
        <w:t>[</w:t>
      </w:r>
      <w:r w:rsidRPr="0035693B">
        <w:rPr>
          <w:rFonts w:ascii="Titillium" w:hAnsi="Titillium" w:cs="Garamond"/>
          <w:i/>
          <w:sz w:val="18"/>
          <w:szCs w:val="18"/>
        </w:rPr>
        <w:t>scegliere tra</w:t>
      </w:r>
      <w:r w:rsidRPr="0035693B">
        <w:t xml:space="preserve"> </w:t>
      </w:r>
      <w:r w:rsidRPr="0035693B">
        <w:rPr>
          <w:rFonts w:ascii="Titillium" w:hAnsi="Titillium" w:cs="Garamond"/>
          <w:i/>
          <w:sz w:val="18"/>
          <w:szCs w:val="18"/>
        </w:rPr>
        <w:t>RUP,</w:t>
      </w:r>
      <w:r w:rsidRPr="0035693B">
        <w:t xml:space="preserve"> </w:t>
      </w:r>
      <w:r w:rsidRPr="0035693B">
        <w:rPr>
          <w:rFonts w:ascii="Titillium" w:hAnsi="Titillium" w:cs="Garamond"/>
          <w:i/>
          <w:sz w:val="18"/>
          <w:szCs w:val="18"/>
        </w:rPr>
        <w:t xml:space="preserve">responsabile di fase, apposito ufficio o servizio a ciò deputato, sulla base delle disposizioni organizzative proprie della stazione appaltante] </w:t>
      </w:r>
      <w:r w:rsidRPr="0035693B">
        <w:rPr>
          <w:rFonts w:ascii="Titillium" w:eastAsia="SimSun" w:hAnsi="Titillium"/>
          <w:sz w:val="18"/>
          <w:szCs w:val="18"/>
        </w:rPr>
        <w:t xml:space="preserve">procede in relazione al concorrente che ha presentato la migliore offerta a: </w:t>
      </w:r>
    </w:p>
    <w:p w14:paraId="7A0E3459" w14:textId="77777777" w:rsidR="00276DF7" w:rsidRPr="0035693B" w:rsidRDefault="00276DF7" w:rsidP="00276DF7">
      <w:pPr>
        <w:pStyle w:val="Paragrafoelenco"/>
        <w:numPr>
          <w:ilvl w:val="0"/>
          <w:numId w:val="42"/>
        </w:numPr>
        <w:shd w:val="clear" w:color="auto" w:fill="F2F2F2" w:themeFill="background1" w:themeFillShade="F2"/>
        <w:spacing w:before="60" w:after="60"/>
        <w:rPr>
          <w:rFonts w:ascii="Titillium" w:eastAsia="SimSun" w:hAnsi="Titillium"/>
          <w:sz w:val="18"/>
          <w:szCs w:val="18"/>
          <w:lang w:eastAsia="en-US"/>
        </w:rPr>
      </w:pPr>
      <w:r w:rsidRPr="0035693B">
        <w:rPr>
          <w:rFonts w:ascii="Titillium" w:eastAsia="SimSun" w:hAnsi="Titillium"/>
          <w:sz w:val="18"/>
          <w:szCs w:val="18"/>
          <w:lang w:eastAsia="en-US"/>
        </w:rPr>
        <w:t>controllare la completezza della documentazione amministrativa presentata;</w:t>
      </w:r>
    </w:p>
    <w:p w14:paraId="0DFB2A34" w14:textId="77777777" w:rsidR="00276DF7" w:rsidRPr="0035693B" w:rsidRDefault="00276DF7" w:rsidP="00276DF7">
      <w:pPr>
        <w:pStyle w:val="Paragrafoelenco"/>
        <w:numPr>
          <w:ilvl w:val="0"/>
          <w:numId w:val="42"/>
        </w:numPr>
        <w:shd w:val="clear" w:color="auto" w:fill="F2F2F2" w:themeFill="background1" w:themeFillShade="F2"/>
        <w:spacing w:before="60" w:after="60"/>
        <w:rPr>
          <w:rFonts w:ascii="Titillium" w:eastAsia="SimSun" w:hAnsi="Titillium"/>
          <w:sz w:val="18"/>
          <w:szCs w:val="18"/>
          <w:lang w:eastAsia="en-US"/>
        </w:rPr>
      </w:pPr>
      <w:r w:rsidRPr="0035693B">
        <w:rPr>
          <w:rFonts w:ascii="Titillium" w:eastAsia="SimSun" w:hAnsi="Titillium"/>
          <w:sz w:val="18"/>
          <w:szCs w:val="18"/>
          <w:lang w:eastAsia="en-US"/>
        </w:rPr>
        <w:t>verificare la conformità della documentazione amministrativa a quanto richiesto nel presente disciplinare;</w:t>
      </w:r>
    </w:p>
    <w:p w14:paraId="778EC7B5" w14:textId="77777777" w:rsidR="00276DF7" w:rsidRPr="0035693B" w:rsidRDefault="00276DF7" w:rsidP="00276DF7">
      <w:pPr>
        <w:pStyle w:val="Paragrafoelenco"/>
        <w:numPr>
          <w:ilvl w:val="0"/>
          <w:numId w:val="42"/>
        </w:numPr>
        <w:shd w:val="clear" w:color="auto" w:fill="F2F2F2" w:themeFill="background1" w:themeFillShade="F2"/>
        <w:spacing w:before="60" w:after="60"/>
        <w:rPr>
          <w:rFonts w:ascii="Titillium" w:eastAsia="SimSun" w:hAnsi="Titillium"/>
          <w:sz w:val="18"/>
          <w:szCs w:val="18"/>
          <w:lang w:eastAsia="en-US"/>
        </w:rPr>
      </w:pPr>
      <w:r w:rsidRPr="0035693B">
        <w:rPr>
          <w:rFonts w:ascii="Titillium" w:eastAsia="SimSun" w:hAnsi="Titillium"/>
          <w:sz w:val="18"/>
          <w:szCs w:val="18"/>
          <w:lang w:eastAsia="en-US"/>
        </w:rPr>
        <w:t xml:space="preserve">attivare la procedura di soccorso istruttorio di cui al precedente punto </w:t>
      </w:r>
      <w:r w:rsidRPr="0035693B">
        <w:rPr>
          <w:rFonts w:ascii="Titillium" w:hAnsi="Titillium" w:cs="Calibri"/>
          <w:sz w:val="18"/>
          <w:szCs w:val="18"/>
        </w:rPr>
        <w:fldChar w:fldCharType="begin"/>
      </w:r>
      <w:r w:rsidRPr="0035693B">
        <w:rPr>
          <w:rFonts w:ascii="Titillium" w:hAnsi="Titillium" w:cs="Calibri"/>
          <w:sz w:val="18"/>
          <w:szCs w:val="18"/>
        </w:rPr>
        <w:instrText xml:space="preserve"> REF _Ref129796272 \r \h  \* MERGEFORMAT </w:instrText>
      </w:r>
      <w:r w:rsidRPr="0035693B">
        <w:rPr>
          <w:rFonts w:ascii="Titillium" w:hAnsi="Titillium" w:cs="Calibri"/>
          <w:sz w:val="18"/>
          <w:szCs w:val="18"/>
        </w:rPr>
      </w:r>
      <w:r w:rsidRPr="0035693B">
        <w:rPr>
          <w:rFonts w:ascii="Titillium" w:hAnsi="Titillium" w:cs="Calibri"/>
          <w:sz w:val="18"/>
          <w:szCs w:val="18"/>
        </w:rPr>
        <w:fldChar w:fldCharType="separate"/>
      </w:r>
      <w:r w:rsidRPr="0035693B">
        <w:rPr>
          <w:rFonts w:ascii="Titillium" w:hAnsi="Titillium" w:cs="Calibri"/>
          <w:sz w:val="18"/>
          <w:szCs w:val="18"/>
        </w:rPr>
        <w:t>14</w:t>
      </w:r>
      <w:r w:rsidRPr="0035693B">
        <w:rPr>
          <w:rFonts w:ascii="Titillium" w:hAnsi="Titillium" w:cs="Calibri"/>
          <w:sz w:val="18"/>
          <w:szCs w:val="18"/>
        </w:rPr>
        <w:fldChar w:fldCharType="end"/>
      </w:r>
      <w:r w:rsidRPr="0035693B">
        <w:rPr>
          <w:rFonts w:ascii="Titillium" w:hAnsi="Titillium" w:cs="Calibri"/>
          <w:sz w:val="18"/>
          <w:szCs w:val="18"/>
        </w:rPr>
        <w:t>, se necessario</w:t>
      </w:r>
      <w:r w:rsidRPr="0035693B">
        <w:rPr>
          <w:rFonts w:ascii="Titillium" w:eastAsia="SimSun" w:hAnsi="Titillium"/>
          <w:sz w:val="18"/>
          <w:szCs w:val="18"/>
          <w:lang w:eastAsia="en-US"/>
        </w:rPr>
        <w:t xml:space="preserve">; </w:t>
      </w:r>
    </w:p>
    <w:p w14:paraId="3B905B26" w14:textId="77777777" w:rsidR="00276DF7" w:rsidRPr="0035693B" w:rsidRDefault="00276DF7" w:rsidP="00276DF7">
      <w:pPr>
        <w:shd w:val="clear" w:color="auto" w:fill="F2F2F2" w:themeFill="background1" w:themeFillShade="F2"/>
        <w:spacing w:before="60" w:after="60"/>
      </w:pPr>
      <w:r w:rsidRPr="0035693B">
        <w:rPr>
          <w:rFonts w:ascii="Titillium" w:eastAsia="SimSun" w:hAnsi="Titillium"/>
          <w:bCs/>
          <w:iCs/>
          <w:sz w:val="18"/>
          <w:szCs w:val="18"/>
        </w:rPr>
        <w:t>Sono sottoposti alla verifica della documentazione amministrativa oltre al concorrente risultato primo anche [</w:t>
      </w:r>
      <w:r w:rsidRPr="0035693B">
        <w:rPr>
          <w:rFonts w:ascii="Titillium" w:eastAsia="SimSun" w:hAnsi="Titillium"/>
          <w:b/>
          <w:bCs/>
          <w:i/>
          <w:iCs/>
          <w:sz w:val="18"/>
          <w:szCs w:val="18"/>
        </w:rPr>
        <w:t>Facoltativo</w:t>
      </w:r>
      <w:r w:rsidRPr="0035693B">
        <w:rPr>
          <w:rFonts w:ascii="Titillium" w:eastAsia="SimSun" w:hAnsi="Titillium"/>
          <w:bCs/>
          <w:iCs/>
          <w:sz w:val="18"/>
          <w:szCs w:val="18"/>
        </w:rPr>
        <w:t xml:space="preserve"> </w:t>
      </w:r>
      <w:r w:rsidRPr="0035693B">
        <w:rPr>
          <w:rFonts w:ascii="Titillium" w:eastAsia="SimSun" w:hAnsi="Titillium"/>
          <w:bCs/>
          <w:i/>
          <w:iCs/>
          <w:sz w:val="18"/>
          <w:szCs w:val="18"/>
        </w:rPr>
        <w:t>il secondo in graduatoria e</w:t>
      </w:r>
      <w:r w:rsidRPr="0035693B">
        <w:rPr>
          <w:rFonts w:ascii="Titillium" w:eastAsia="SimSun" w:hAnsi="Titillium"/>
          <w:bCs/>
          <w:iCs/>
          <w:sz w:val="18"/>
          <w:szCs w:val="18"/>
        </w:rPr>
        <w:t xml:space="preserve">] n. … </w:t>
      </w:r>
      <w:r w:rsidRPr="0035693B">
        <w:rPr>
          <w:rFonts w:ascii="Titillium" w:eastAsia="SimSun" w:hAnsi="Titillium"/>
          <w:bCs/>
          <w:i/>
          <w:iCs/>
          <w:sz w:val="18"/>
          <w:szCs w:val="18"/>
        </w:rPr>
        <w:t>[indicare il n. di concorrenti che saranno sottoposti a controllo]</w:t>
      </w:r>
      <w:r w:rsidRPr="0035693B">
        <w:rPr>
          <w:rFonts w:ascii="Titillium" w:eastAsia="SimSun" w:hAnsi="Titillium"/>
          <w:bCs/>
          <w:iCs/>
          <w:sz w:val="18"/>
          <w:szCs w:val="18"/>
        </w:rPr>
        <w:t xml:space="preserve"> concorrenti, sorteggiati … </w:t>
      </w:r>
      <w:r w:rsidRPr="0035693B">
        <w:rPr>
          <w:rFonts w:ascii="Titillium" w:eastAsia="SimSun" w:hAnsi="Titillium"/>
          <w:bCs/>
          <w:i/>
          <w:iCs/>
          <w:sz w:val="18"/>
          <w:szCs w:val="18"/>
        </w:rPr>
        <w:t>[indicare le modalità del sorteggio, ad esempio automaticamente mediante apposita funzione della piattaforma</w:t>
      </w:r>
      <w:r w:rsidRPr="0035693B">
        <w:rPr>
          <w:rFonts w:ascii="Titillium" w:eastAsia="SimSun" w:hAnsi="Titillium"/>
          <w:bCs/>
          <w:iCs/>
          <w:sz w:val="18"/>
          <w:szCs w:val="18"/>
        </w:rPr>
        <w:t xml:space="preserve">], ai sensi dell’articolo 71 del decreto del Presidente della Repubblica n. 445/2000. </w:t>
      </w:r>
    </w:p>
    <w:p w14:paraId="2C0585F7" w14:textId="77777777" w:rsidR="00276DF7" w:rsidRPr="0035693B" w:rsidRDefault="00276DF7" w:rsidP="00276DF7">
      <w:pPr>
        <w:shd w:val="clear" w:color="auto" w:fill="F2F2F2" w:themeFill="background1" w:themeFillShade="F2"/>
        <w:spacing w:before="60" w:after="60"/>
        <w:rPr>
          <w:rFonts w:ascii="Titillium" w:eastAsia="SimSun" w:hAnsi="Titillium"/>
          <w:sz w:val="18"/>
          <w:szCs w:val="18"/>
        </w:rPr>
      </w:pPr>
      <w:r w:rsidRPr="0035693B">
        <w:rPr>
          <w:rFonts w:ascii="Titillium" w:hAnsi="Titillium" w:cs="Calibri"/>
          <w:sz w:val="18"/>
          <w:szCs w:val="18"/>
        </w:rPr>
        <w:t>Gli eventuali provvedimenti di esclusione dalla procedura di gara sono comunicati</w:t>
      </w:r>
      <w:r w:rsidRPr="0035693B">
        <w:rPr>
          <w:rFonts w:ascii="Titillium" w:eastAsia="SimSun" w:hAnsi="Titillium"/>
          <w:sz w:val="18"/>
          <w:szCs w:val="18"/>
        </w:rPr>
        <w:t xml:space="preserve"> entro cinque giorni dalla loro adozione.</w:t>
      </w:r>
    </w:p>
    <w:p w14:paraId="6AF1214E" w14:textId="77777777" w:rsidR="00276DF7" w:rsidRDefault="00276DF7" w:rsidP="00276DF7">
      <w:pPr>
        <w:pStyle w:val="Paragrafoelenco"/>
        <w:shd w:val="clear" w:color="auto" w:fill="F2F2F2" w:themeFill="background1" w:themeFillShade="F2"/>
        <w:ind w:left="0"/>
        <w:rPr>
          <w:rFonts w:ascii="Titillium" w:eastAsia="SimSun" w:hAnsi="Titillium"/>
          <w:sz w:val="18"/>
          <w:szCs w:val="18"/>
        </w:rPr>
      </w:pPr>
      <w:r w:rsidRPr="0013560D">
        <w:rPr>
          <w:rFonts w:ascii="Titillium" w:hAnsi="Titillium" w:cs="Calibri"/>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p>
    <w:p w14:paraId="3F979F9A" w14:textId="77777777" w:rsidR="00276DF7" w:rsidRDefault="00276DF7" w:rsidP="00276DF7">
      <w:pPr>
        <w:pStyle w:val="Titolo2"/>
        <w:numPr>
          <w:ilvl w:val="0"/>
          <w:numId w:val="27"/>
        </w:numPr>
        <w:shd w:val="clear" w:color="auto" w:fill="F2F2F2" w:themeFill="background1" w:themeFillShade="F2"/>
        <w:ind w:left="357" w:hanging="357"/>
      </w:pPr>
      <w:bookmarkStart w:id="2171" w:name="_Toc484688358"/>
      <w:bookmarkStart w:id="2172" w:name="_Toc484605489"/>
      <w:bookmarkStart w:id="2173" w:name="_Toc484605365"/>
      <w:bookmarkStart w:id="2174" w:name="_Toc484526645"/>
      <w:bookmarkStart w:id="2175" w:name="_Toc484449150"/>
      <w:bookmarkStart w:id="2176" w:name="_Toc484449026"/>
      <w:bookmarkStart w:id="2177" w:name="_Toc484448902"/>
      <w:bookmarkStart w:id="2178" w:name="_Toc484448779"/>
      <w:bookmarkStart w:id="2179" w:name="_Toc484448655"/>
      <w:bookmarkStart w:id="2180" w:name="_Toc484448531"/>
      <w:bookmarkStart w:id="2181" w:name="_Toc484448407"/>
      <w:bookmarkStart w:id="2182" w:name="_Toc484448283"/>
      <w:bookmarkStart w:id="2183" w:name="_Toc484448159"/>
      <w:bookmarkStart w:id="2184" w:name="_Toc484440499"/>
      <w:bookmarkStart w:id="2185" w:name="_Toc484440139"/>
      <w:bookmarkStart w:id="2186" w:name="_Toc484440015"/>
      <w:bookmarkStart w:id="2187" w:name="_Toc484439892"/>
      <w:bookmarkStart w:id="2188" w:name="_Toc484438972"/>
      <w:bookmarkStart w:id="2189" w:name="_Toc484438848"/>
      <w:bookmarkStart w:id="2190" w:name="_Toc484438724"/>
      <w:bookmarkStart w:id="2191" w:name="_Toc484429149"/>
      <w:bookmarkStart w:id="2192" w:name="_Toc484428979"/>
      <w:bookmarkStart w:id="2193" w:name="_Toc484097805"/>
      <w:bookmarkStart w:id="2194" w:name="_Toc484011731"/>
      <w:bookmarkStart w:id="2195" w:name="_Toc484011256"/>
      <w:bookmarkStart w:id="2196" w:name="_Toc484011134"/>
      <w:bookmarkStart w:id="2197" w:name="_Toc484011012"/>
      <w:bookmarkStart w:id="2198" w:name="_Toc484010888"/>
      <w:bookmarkStart w:id="2199" w:name="_Toc484010766"/>
      <w:bookmarkStart w:id="2200" w:name="_Toc483907016"/>
      <w:bookmarkStart w:id="2201" w:name="_Toc483571638"/>
      <w:bookmarkStart w:id="2202" w:name="_Toc483571516"/>
      <w:bookmarkStart w:id="2203" w:name="_Toc483474085"/>
      <w:bookmarkStart w:id="2204" w:name="_Toc483401289"/>
      <w:bookmarkStart w:id="2205" w:name="_Toc483325811"/>
      <w:bookmarkStart w:id="2206" w:name="_Toc483316508"/>
      <w:bookmarkStart w:id="2207" w:name="_Toc483316377"/>
      <w:bookmarkStart w:id="2208" w:name="_Toc483316245"/>
      <w:bookmarkStart w:id="2209" w:name="_Toc483316040"/>
      <w:bookmarkStart w:id="2210" w:name="_Toc483302419"/>
      <w:bookmarkStart w:id="2211" w:name="_Toc483233702"/>
      <w:bookmarkStart w:id="2212" w:name="_Toc482979742"/>
      <w:bookmarkStart w:id="2213" w:name="_Toc482979644"/>
      <w:bookmarkStart w:id="2214" w:name="_Toc482979546"/>
      <w:bookmarkStart w:id="2215" w:name="_Toc482979438"/>
      <w:bookmarkStart w:id="2216" w:name="_Toc482979329"/>
      <w:bookmarkStart w:id="2217" w:name="_Toc482979220"/>
      <w:bookmarkStart w:id="2218" w:name="_Toc482979109"/>
      <w:bookmarkStart w:id="2219" w:name="_Toc482979001"/>
      <w:bookmarkStart w:id="2220" w:name="_Toc482978892"/>
      <w:bookmarkStart w:id="2221" w:name="_Toc482959773"/>
      <w:bookmarkStart w:id="2222" w:name="_Toc482959663"/>
      <w:bookmarkStart w:id="2223" w:name="_Toc482959553"/>
      <w:bookmarkStart w:id="2224" w:name="_Toc482712765"/>
      <w:bookmarkStart w:id="2225" w:name="_Toc482641319"/>
      <w:bookmarkStart w:id="2226" w:name="_Toc482633142"/>
      <w:bookmarkStart w:id="2227" w:name="_Toc482352301"/>
      <w:bookmarkStart w:id="2228" w:name="_Toc482352211"/>
      <w:bookmarkStart w:id="2229" w:name="_Toc482352121"/>
      <w:bookmarkStart w:id="2230" w:name="_Toc482352031"/>
      <w:bookmarkStart w:id="2231" w:name="_Toc482102167"/>
      <w:bookmarkStart w:id="2232" w:name="_Toc482102073"/>
      <w:bookmarkStart w:id="2233" w:name="_Toc482101978"/>
      <w:bookmarkStart w:id="2234" w:name="_Toc482101883"/>
      <w:bookmarkStart w:id="2235" w:name="_Toc482101790"/>
      <w:bookmarkStart w:id="2236" w:name="_Toc482101615"/>
      <w:bookmarkStart w:id="2237" w:name="_Toc482101500"/>
      <w:bookmarkStart w:id="2238" w:name="_Toc482101363"/>
      <w:bookmarkStart w:id="2239" w:name="_Toc482100937"/>
      <w:bookmarkStart w:id="2240" w:name="_Toc482100780"/>
      <w:bookmarkStart w:id="2241" w:name="_Toc482099063"/>
      <w:bookmarkStart w:id="2242" w:name="_Toc482097961"/>
      <w:bookmarkStart w:id="2243" w:name="_Toc482097769"/>
      <w:bookmarkStart w:id="2244" w:name="_Toc482097680"/>
      <w:bookmarkStart w:id="2245" w:name="_Toc482097591"/>
      <w:bookmarkStart w:id="2246" w:name="_Toc482025767"/>
      <w:bookmarkStart w:id="2247" w:name="_Toc485218347"/>
      <w:bookmarkStart w:id="2248" w:name="_Toc484688912"/>
      <w:bookmarkStart w:id="2249" w:name="_Toc484688357"/>
      <w:bookmarkStart w:id="2250" w:name="_Toc484605488"/>
      <w:bookmarkStart w:id="2251" w:name="_Toc484605364"/>
      <w:bookmarkStart w:id="2252" w:name="_Toc484526644"/>
      <w:bookmarkStart w:id="2253" w:name="_Toc484449149"/>
      <w:bookmarkStart w:id="2254" w:name="_Toc484449025"/>
      <w:bookmarkStart w:id="2255" w:name="_Toc484448901"/>
      <w:bookmarkStart w:id="2256" w:name="_Toc484448778"/>
      <w:bookmarkStart w:id="2257" w:name="_Toc484448654"/>
      <w:bookmarkStart w:id="2258" w:name="_Toc484448530"/>
      <w:bookmarkStart w:id="2259" w:name="_Toc484448406"/>
      <w:bookmarkStart w:id="2260" w:name="_Toc484448282"/>
      <w:bookmarkStart w:id="2261" w:name="_Toc484448158"/>
      <w:bookmarkStart w:id="2262" w:name="_Toc484440498"/>
      <w:bookmarkStart w:id="2263" w:name="_Toc484440138"/>
      <w:bookmarkStart w:id="2264" w:name="_Toc484440014"/>
      <w:bookmarkStart w:id="2265" w:name="_Toc484439891"/>
      <w:bookmarkStart w:id="2266" w:name="_Toc484438971"/>
      <w:bookmarkStart w:id="2267" w:name="_Toc484438847"/>
      <w:bookmarkStart w:id="2268" w:name="_Toc484438723"/>
      <w:bookmarkStart w:id="2269" w:name="_Toc484429148"/>
      <w:bookmarkStart w:id="2270" w:name="_Toc484428978"/>
      <w:bookmarkStart w:id="2271" w:name="_Toc484097804"/>
      <w:bookmarkStart w:id="2272" w:name="_Toc484011730"/>
      <w:bookmarkStart w:id="2273" w:name="_Toc484011255"/>
      <w:bookmarkStart w:id="2274" w:name="_Toc484011133"/>
      <w:bookmarkStart w:id="2275" w:name="_Toc484011011"/>
      <w:bookmarkStart w:id="2276" w:name="_Toc484010887"/>
      <w:bookmarkStart w:id="2277" w:name="_Toc484010765"/>
      <w:bookmarkStart w:id="2278" w:name="_Toc483907015"/>
      <w:bookmarkStart w:id="2279" w:name="_Toc483571637"/>
      <w:bookmarkStart w:id="2280" w:name="_Toc483571515"/>
      <w:bookmarkStart w:id="2281" w:name="_Toc483474084"/>
      <w:bookmarkStart w:id="2282" w:name="_Toc483401288"/>
      <w:bookmarkStart w:id="2283" w:name="_Toc483325810"/>
      <w:bookmarkStart w:id="2284" w:name="_Toc483316507"/>
      <w:bookmarkStart w:id="2285" w:name="_Toc483316376"/>
      <w:bookmarkStart w:id="2286" w:name="_Toc483316244"/>
      <w:bookmarkStart w:id="2287" w:name="_Toc483316039"/>
      <w:bookmarkStart w:id="2288" w:name="_Toc483302418"/>
      <w:bookmarkStart w:id="2289" w:name="_Toc483233701"/>
      <w:bookmarkStart w:id="2290" w:name="_Toc482979741"/>
      <w:bookmarkStart w:id="2291" w:name="_Toc482979643"/>
      <w:bookmarkStart w:id="2292" w:name="_Toc482979545"/>
      <w:bookmarkStart w:id="2293" w:name="_Toc482979437"/>
      <w:bookmarkStart w:id="2294" w:name="_Toc482979328"/>
      <w:bookmarkStart w:id="2295" w:name="_Toc482979219"/>
      <w:bookmarkStart w:id="2296" w:name="_Toc482979108"/>
      <w:bookmarkStart w:id="2297" w:name="_Toc482979000"/>
      <w:bookmarkStart w:id="2298" w:name="_Toc482978891"/>
      <w:bookmarkStart w:id="2299" w:name="_Toc482959772"/>
      <w:bookmarkStart w:id="2300" w:name="_Toc482959662"/>
      <w:bookmarkStart w:id="2301" w:name="_Toc482959552"/>
      <w:bookmarkStart w:id="2302" w:name="_Toc482712764"/>
      <w:bookmarkStart w:id="2303" w:name="_Toc482641318"/>
      <w:bookmarkStart w:id="2304" w:name="_Toc482633141"/>
      <w:bookmarkStart w:id="2305" w:name="_Toc482352300"/>
      <w:bookmarkStart w:id="2306" w:name="_Toc482352210"/>
      <w:bookmarkStart w:id="2307" w:name="_Toc482352120"/>
      <w:bookmarkStart w:id="2308" w:name="_Toc482352030"/>
      <w:bookmarkStart w:id="2309" w:name="_Toc482102166"/>
      <w:bookmarkStart w:id="2310" w:name="_Toc482102072"/>
      <w:bookmarkStart w:id="2311" w:name="_Toc482101977"/>
      <w:bookmarkStart w:id="2312" w:name="_Toc482101882"/>
      <w:bookmarkStart w:id="2313" w:name="_Toc482101789"/>
      <w:bookmarkStart w:id="2314" w:name="_Toc482101614"/>
      <w:bookmarkStart w:id="2315" w:name="_Toc482101499"/>
      <w:bookmarkStart w:id="2316" w:name="_Toc482101362"/>
      <w:bookmarkStart w:id="2317" w:name="_Toc482100936"/>
      <w:bookmarkStart w:id="2318" w:name="_Toc482100779"/>
      <w:bookmarkStart w:id="2319" w:name="_Toc482099062"/>
      <w:bookmarkStart w:id="2320" w:name="_Toc482097960"/>
      <w:bookmarkStart w:id="2321" w:name="_Toc482097768"/>
      <w:bookmarkStart w:id="2322" w:name="_Toc482097679"/>
      <w:bookmarkStart w:id="2323" w:name="_Toc482097590"/>
      <w:bookmarkStart w:id="2324" w:name="_Toc482025766"/>
      <w:bookmarkStart w:id="2325" w:name="_Toc485218346"/>
      <w:bookmarkStart w:id="2326" w:name="_Toc484688911"/>
      <w:bookmarkStart w:id="2327" w:name="_Toc484688356"/>
      <w:bookmarkStart w:id="2328" w:name="_Toc484605487"/>
      <w:bookmarkStart w:id="2329" w:name="_Toc484605363"/>
      <w:bookmarkStart w:id="2330" w:name="_Toc484526643"/>
      <w:bookmarkStart w:id="2331" w:name="_Toc484449148"/>
      <w:bookmarkStart w:id="2332" w:name="_Toc484449024"/>
      <w:bookmarkStart w:id="2333" w:name="_Toc484448900"/>
      <w:bookmarkStart w:id="2334" w:name="_Toc484448777"/>
      <w:bookmarkStart w:id="2335" w:name="_Toc484448653"/>
      <w:bookmarkStart w:id="2336" w:name="_Toc484448529"/>
      <w:bookmarkStart w:id="2337" w:name="_Toc484448405"/>
      <w:bookmarkStart w:id="2338" w:name="_Toc484448281"/>
      <w:bookmarkStart w:id="2339" w:name="_Toc484448157"/>
      <w:bookmarkStart w:id="2340" w:name="_Toc484440497"/>
      <w:bookmarkStart w:id="2341" w:name="_Toc484440137"/>
      <w:bookmarkStart w:id="2342" w:name="_Toc484440013"/>
      <w:bookmarkStart w:id="2343" w:name="_Toc484439890"/>
      <w:bookmarkStart w:id="2344" w:name="_Toc484438970"/>
      <w:bookmarkStart w:id="2345" w:name="_Toc484438846"/>
      <w:bookmarkStart w:id="2346" w:name="_Toc484438722"/>
      <w:bookmarkStart w:id="2347" w:name="_Toc484429147"/>
      <w:bookmarkStart w:id="2348" w:name="_Toc484428977"/>
      <w:bookmarkStart w:id="2349" w:name="_Toc484097803"/>
      <w:bookmarkStart w:id="2350" w:name="_Toc484011729"/>
      <w:bookmarkStart w:id="2351" w:name="_Toc484011254"/>
      <w:bookmarkStart w:id="2352" w:name="_Toc484011132"/>
      <w:bookmarkStart w:id="2353" w:name="_Toc484011010"/>
      <w:bookmarkStart w:id="2354" w:name="_Toc484010886"/>
      <w:bookmarkStart w:id="2355" w:name="_Toc484010764"/>
      <w:bookmarkStart w:id="2356" w:name="_Toc483907014"/>
      <w:bookmarkStart w:id="2357" w:name="_Toc483571636"/>
      <w:bookmarkStart w:id="2358" w:name="_Toc483571514"/>
      <w:bookmarkStart w:id="2359" w:name="_Toc483474083"/>
      <w:bookmarkStart w:id="2360" w:name="_Toc483401287"/>
      <w:bookmarkStart w:id="2361" w:name="_Toc483325809"/>
      <w:bookmarkStart w:id="2362" w:name="_Toc483316506"/>
      <w:bookmarkStart w:id="2363" w:name="_Toc483316375"/>
      <w:bookmarkStart w:id="2364" w:name="_Toc483316243"/>
      <w:bookmarkStart w:id="2365" w:name="_Toc483316038"/>
      <w:bookmarkStart w:id="2366" w:name="_Toc483302417"/>
      <w:bookmarkStart w:id="2367" w:name="_Toc483233700"/>
      <w:bookmarkStart w:id="2368" w:name="_Toc482979740"/>
      <w:bookmarkStart w:id="2369" w:name="_Toc482979642"/>
      <w:bookmarkStart w:id="2370" w:name="_Toc482979544"/>
      <w:bookmarkStart w:id="2371" w:name="_Toc482979436"/>
      <w:bookmarkStart w:id="2372" w:name="_Toc482979327"/>
      <w:bookmarkStart w:id="2373" w:name="_Toc482979218"/>
      <w:bookmarkStart w:id="2374" w:name="_Toc482979107"/>
      <w:bookmarkStart w:id="2375" w:name="_Toc482978999"/>
      <w:bookmarkStart w:id="2376" w:name="_Toc482978890"/>
      <w:bookmarkStart w:id="2377" w:name="_Toc482959771"/>
      <w:bookmarkStart w:id="2378" w:name="_Toc482959661"/>
      <w:bookmarkStart w:id="2379" w:name="_Toc482959551"/>
      <w:bookmarkStart w:id="2380" w:name="_Toc482712763"/>
      <w:bookmarkStart w:id="2381" w:name="_Toc482641317"/>
      <w:bookmarkStart w:id="2382" w:name="_Toc482633140"/>
      <w:bookmarkStart w:id="2383" w:name="_Toc482352299"/>
      <w:bookmarkStart w:id="2384" w:name="_Toc482352209"/>
      <w:bookmarkStart w:id="2385" w:name="_Toc482352119"/>
      <w:bookmarkStart w:id="2386" w:name="_Toc482352029"/>
      <w:bookmarkStart w:id="2387" w:name="_Toc482102165"/>
      <w:bookmarkStart w:id="2388" w:name="_Toc482102071"/>
      <w:bookmarkStart w:id="2389" w:name="_Toc482101976"/>
      <w:bookmarkStart w:id="2390" w:name="_Toc482101881"/>
      <w:bookmarkStart w:id="2391" w:name="_Toc482101788"/>
      <w:bookmarkStart w:id="2392" w:name="_Toc482101613"/>
      <w:bookmarkStart w:id="2393" w:name="_Toc482101498"/>
      <w:bookmarkStart w:id="2394" w:name="_Toc482101361"/>
      <w:bookmarkStart w:id="2395" w:name="_Toc482100935"/>
      <w:bookmarkStart w:id="2396" w:name="_Toc482100778"/>
      <w:bookmarkStart w:id="2397" w:name="_Toc482099061"/>
      <w:bookmarkStart w:id="2398" w:name="_Toc482097959"/>
      <w:bookmarkStart w:id="2399" w:name="_Toc482097767"/>
      <w:bookmarkStart w:id="2400" w:name="_Toc482097678"/>
      <w:bookmarkStart w:id="2401" w:name="_Toc482097589"/>
      <w:bookmarkStart w:id="2402" w:name="_Toc482025765"/>
      <w:bookmarkStart w:id="2403" w:name="_Toc485218345"/>
      <w:bookmarkStart w:id="2404" w:name="_Toc484688910"/>
      <w:bookmarkStart w:id="2405" w:name="_Toc484688355"/>
      <w:bookmarkStart w:id="2406" w:name="_Toc484605486"/>
      <w:bookmarkStart w:id="2407" w:name="_Toc484605362"/>
      <w:bookmarkStart w:id="2408" w:name="_Toc484526642"/>
      <w:bookmarkStart w:id="2409" w:name="_Toc484449147"/>
      <w:bookmarkStart w:id="2410" w:name="_Toc484449023"/>
      <w:bookmarkStart w:id="2411" w:name="_Toc484448899"/>
      <w:bookmarkStart w:id="2412" w:name="_Toc484448776"/>
      <w:bookmarkStart w:id="2413" w:name="_Toc484448652"/>
      <w:bookmarkStart w:id="2414" w:name="_Toc484448528"/>
      <w:bookmarkStart w:id="2415" w:name="_Toc484448404"/>
      <w:bookmarkStart w:id="2416" w:name="_Toc484448280"/>
      <w:bookmarkStart w:id="2417" w:name="_Toc484448156"/>
      <w:bookmarkStart w:id="2418" w:name="_Toc484440496"/>
      <w:bookmarkStart w:id="2419" w:name="_Toc484440136"/>
      <w:bookmarkStart w:id="2420" w:name="_Toc484440012"/>
      <w:bookmarkStart w:id="2421" w:name="_Toc484439889"/>
      <w:bookmarkStart w:id="2422" w:name="_Toc484438969"/>
      <w:bookmarkStart w:id="2423" w:name="_Toc484438845"/>
      <w:bookmarkStart w:id="2424" w:name="_Toc484438721"/>
      <w:bookmarkStart w:id="2425" w:name="_Toc484429146"/>
      <w:bookmarkStart w:id="2426" w:name="_Toc484428976"/>
      <w:bookmarkStart w:id="2427" w:name="_Toc484097802"/>
      <w:bookmarkStart w:id="2428" w:name="_Toc484011728"/>
      <w:bookmarkStart w:id="2429" w:name="_Toc484011253"/>
      <w:bookmarkStart w:id="2430" w:name="_Toc484011131"/>
      <w:bookmarkStart w:id="2431" w:name="_Toc484011009"/>
      <w:bookmarkStart w:id="2432" w:name="_Toc484010885"/>
      <w:bookmarkStart w:id="2433" w:name="_Toc484010763"/>
      <w:bookmarkStart w:id="2434" w:name="_Toc483907013"/>
      <w:bookmarkStart w:id="2435" w:name="_Toc483571635"/>
      <w:bookmarkStart w:id="2436" w:name="_Toc483571513"/>
      <w:bookmarkStart w:id="2437" w:name="_Toc483474082"/>
      <w:bookmarkStart w:id="2438" w:name="_Toc483401286"/>
      <w:bookmarkStart w:id="2439" w:name="_Toc483325808"/>
      <w:bookmarkStart w:id="2440" w:name="_Toc483316505"/>
      <w:bookmarkStart w:id="2441" w:name="_Toc483316374"/>
      <w:bookmarkStart w:id="2442" w:name="_Toc483316242"/>
      <w:bookmarkStart w:id="2443" w:name="_Toc483316037"/>
      <w:bookmarkStart w:id="2444" w:name="_Toc483302416"/>
      <w:bookmarkStart w:id="2445" w:name="_Toc483233699"/>
      <w:bookmarkStart w:id="2446" w:name="_Toc482979739"/>
      <w:bookmarkStart w:id="2447" w:name="_Toc482979641"/>
      <w:bookmarkStart w:id="2448" w:name="_Toc482979543"/>
      <w:bookmarkStart w:id="2449" w:name="_Toc482979435"/>
      <w:bookmarkStart w:id="2450" w:name="_Toc482979326"/>
      <w:bookmarkStart w:id="2451" w:name="_Toc482979217"/>
      <w:bookmarkStart w:id="2452" w:name="_Toc482979106"/>
      <w:bookmarkStart w:id="2453" w:name="_Toc482978998"/>
      <w:bookmarkStart w:id="2454" w:name="_Toc482978889"/>
      <w:bookmarkStart w:id="2455" w:name="_Toc482959770"/>
      <w:bookmarkStart w:id="2456" w:name="_Toc482959660"/>
      <w:bookmarkStart w:id="2457" w:name="_Toc482959550"/>
      <w:bookmarkStart w:id="2458" w:name="_Toc482712762"/>
      <w:bookmarkStart w:id="2459" w:name="_Toc482641316"/>
      <w:bookmarkStart w:id="2460" w:name="_Toc482633139"/>
      <w:bookmarkStart w:id="2461" w:name="_Toc482352298"/>
      <w:bookmarkStart w:id="2462" w:name="_Toc482352208"/>
      <w:bookmarkStart w:id="2463" w:name="_Toc482352118"/>
      <w:bookmarkStart w:id="2464" w:name="_Toc482352028"/>
      <w:bookmarkStart w:id="2465" w:name="_Toc482102164"/>
      <w:bookmarkStart w:id="2466" w:name="_Toc482102070"/>
      <w:bookmarkStart w:id="2467" w:name="_Toc482101975"/>
      <w:bookmarkStart w:id="2468" w:name="_Toc482101880"/>
      <w:bookmarkStart w:id="2469" w:name="_Toc482101787"/>
      <w:bookmarkStart w:id="2470" w:name="_Toc482101612"/>
      <w:bookmarkStart w:id="2471" w:name="_Toc482101497"/>
      <w:bookmarkStart w:id="2472" w:name="_Toc482101360"/>
      <w:bookmarkStart w:id="2473" w:name="_Toc482100934"/>
      <w:bookmarkStart w:id="2474" w:name="_Toc482100777"/>
      <w:bookmarkStart w:id="2475" w:name="_Toc482099060"/>
      <w:bookmarkStart w:id="2476" w:name="_Toc482097958"/>
      <w:bookmarkStart w:id="2477" w:name="_Toc482097766"/>
      <w:bookmarkStart w:id="2478" w:name="_Toc482097677"/>
      <w:bookmarkStart w:id="2479" w:name="_Toc482097588"/>
      <w:bookmarkStart w:id="2480" w:name="_Toc482025764"/>
      <w:bookmarkStart w:id="2481" w:name="_Toc485218344"/>
      <w:bookmarkStart w:id="2482" w:name="_Toc484688909"/>
      <w:bookmarkStart w:id="2483" w:name="_Toc484688354"/>
      <w:bookmarkStart w:id="2484" w:name="_Toc484605485"/>
      <w:bookmarkStart w:id="2485" w:name="_Toc484605361"/>
      <w:bookmarkStart w:id="2486" w:name="_Toc484526641"/>
      <w:bookmarkStart w:id="2487" w:name="_Toc484449146"/>
      <w:bookmarkStart w:id="2488" w:name="_Toc484449022"/>
      <w:bookmarkStart w:id="2489" w:name="_Toc484448898"/>
      <w:bookmarkStart w:id="2490" w:name="_Toc484448775"/>
      <w:bookmarkStart w:id="2491" w:name="_Toc484448651"/>
      <w:bookmarkStart w:id="2492" w:name="_Toc484448527"/>
      <w:bookmarkStart w:id="2493" w:name="_Toc484448403"/>
      <w:bookmarkStart w:id="2494" w:name="_Toc484448279"/>
      <w:bookmarkStart w:id="2495" w:name="_Toc484448155"/>
      <w:bookmarkStart w:id="2496" w:name="_Toc484440495"/>
      <w:bookmarkStart w:id="2497" w:name="_Toc484440135"/>
      <w:bookmarkStart w:id="2498" w:name="_Toc484440011"/>
      <w:bookmarkStart w:id="2499" w:name="_Toc484439888"/>
      <w:bookmarkStart w:id="2500" w:name="_Toc484438968"/>
      <w:bookmarkStart w:id="2501" w:name="_Toc484438844"/>
      <w:bookmarkStart w:id="2502" w:name="_Toc484438720"/>
      <w:bookmarkStart w:id="2503" w:name="_Toc484429145"/>
      <w:bookmarkStart w:id="2504" w:name="_Toc484428975"/>
      <w:bookmarkStart w:id="2505" w:name="_Toc484097801"/>
      <w:bookmarkStart w:id="2506" w:name="_Toc484011727"/>
      <w:bookmarkStart w:id="2507" w:name="_Toc484011252"/>
      <w:bookmarkStart w:id="2508" w:name="_Toc484011130"/>
      <w:bookmarkStart w:id="2509" w:name="_Toc484011008"/>
      <w:bookmarkStart w:id="2510" w:name="_Toc484010884"/>
      <w:bookmarkStart w:id="2511" w:name="_Toc484010762"/>
      <w:bookmarkStart w:id="2512" w:name="_Toc483907012"/>
      <w:bookmarkStart w:id="2513" w:name="_Toc483571634"/>
      <w:bookmarkStart w:id="2514" w:name="_Toc483571512"/>
      <w:bookmarkStart w:id="2515" w:name="_Toc483474081"/>
      <w:bookmarkStart w:id="2516" w:name="_Toc483401285"/>
      <w:bookmarkStart w:id="2517" w:name="_Toc483325807"/>
      <w:bookmarkStart w:id="2518" w:name="_Toc483316504"/>
      <w:bookmarkStart w:id="2519" w:name="_Toc483316373"/>
      <w:bookmarkStart w:id="2520" w:name="_Toc483316241"/>
      <w:bookmarkStart w:id="2521" w:name="_Toc483316036"/>
      <w:bookmarkStart w:id="2522" w:name="_Toc483302415"/>
      <w:bookmarkStart w:id="2523" w:name="_Toc483233698"/>
      <w:bookmarkStart w:id="2524" w:name="_Toc482979738"/>
      <w:bookmarkStart w:id="2525" w:name="_Toc482979640"/>
      <w:bookmarkStart w:id="2526" w:name="_Toc482979542"/>
      <w:bookmarkStart w:id="2527" w:name="_Toc482979434"/>
      <w:bookmarkStart w:id="2528" w:name="_Toc482979325"/>
      <w:bookmarkStart w:id="2529" w:name="_Toc482979216"/>
      <w:bookmarkStart w:id="2530" w:name="_Toc482979105"/>
      <w:bookmarkStart w:id="2531" w:name="_Toc482978997"/>
      <w:bookmarkStart w:id="2532" w:name="_Toc482978888"/>
      <w:bookmarkStart w:id="2533" w:name="_Toc482959769"/>
      <w:bookmarkStart w:id="2534" w:name="_Toc482959659"/>
      <w:bookmarkStart w:id="2535" w:name="_Toc482959549"/>
      <w:bookmarkStart w:id="2536" w:name="_Toc482712761"/>
      <w:bookmarkStart w:id="2537" w:name="_Toc482641315"/>
      <w:bookmarkStart w:id="2538" w:name="_Toc482633138"/>
      <w:bookmarkStart w:id="2539" w:name="_Toc482352297"/>
      <w:bookmarkStart w:id="2540" w:name="_Toc482352207"/>
      <w:bookmarkStart w:id="2541" w:name="_Toc482352117"/>
      <w:bookmarkStart w:id="2542" w:name="_Toc482352027"/>
      <w:bookmarkStart w:id="2543" w:name="_Toc482102163"/>
      <w:bookmarkStart w:id="2544" w:name="_Toc482102069"/>
      <w:bookmarkStart w:id="2545" w:name="_Toc482101974"/>
      <w:bookmarkStart w:id="2546" w:name="_Toc482101879"/>
      <w:bookmarkStart w:id="2547" w:name="_Toc482101786"/>
      <w:bookmarkStart w:id="2548" w:name="_Toc482101611"/>
      <w:bookmarkStart w:id="2549" w:name="_Toc482101496"/>
      <w:bookmarkStart w:id="2550" w:name="_Toc482101359"/>
      <w:bookmarkStart w:id="2551" w:name="_Toc482100933"/>
      <w:bookmarkStart w:id="2552" w:name="_Toc482100776"/>
      <w:bookmarkStart w:id="2553" w:name="_Toc482099059"/>
      <w:bookmarkStart w:id="2554" w:name="_Toc482097957"/>
      <w:bookmarkStart w:id="2555" w:name="_Toc482097765"/>
      <w:bookmarkStart w:id="2556" w:name="_Toc482097676"/>
      <w:bookmarkStart w:id="2557" w:name="_Toc482097587"/>
      <w:bookmarkStart w:id="2558" w:name="_Toc482025763"/>
      <w:bookmarkStart w:id="2559" w:name="_Toc485218343"/>
      <w:bookmarkStart w:id="2560" w:name="_Toc484688908"/>
      <w:bookmarkStart w:id="2561" w:name="_Toc484688353"/>
      <w:bookmarkStart w:id="2562" w:name="_Toc484605484"/>
      <w:bookmarkStart w:id="2563" w:name="_Toc484605360"/>
      <w:bookmarkStart w:id="2564" w:name="_Toc484526640"/>
      <w:bookmarkStart w:id="2565" w:name="_Toc484449145"/>
      <w:bookmarkStart w:id="2566" w:name="_Toc484449021"/>
      <w:bookmarkStart w:id="2567" w:name="_Toc484448897"/>
      <w:bookmarkStart w:id="2568" w:name="_Toc484448774"/>
      <w:bookmarkStart w:id="2569" w:name="_Toc484448650"/>
      <w:bookmarkStart w:id="2570" w:name="_Toc484448526"/>
      <w:bookmarkStart w:id="2571" w:name="_Toc484448402"/>
      <w:bookmarkStart w:id="2572" w:name="_Toc484448278"/>
      <w:bookmarkStart w:id="2573" w:name="_Toc484448154"/>
      <w:bookmarkStart w:id="2574" w:name="_Toc484440494"/>
      <w:bookmarkStart w:id="2575" w:name="_Toc484440134"/>
      <w:bookmarkStart w:id="2576" w:name="_Toc484440010"/>
      <w:bookmarkStart w:id="2577" w:name="_Toc484439887"/>
      <w:bookmarkStart w:id="2578" w:name="_Toc484438967"/>
      <w:bookmarkStart w:id="2579" w:name="_Toc484438843"/>
      <w:bookmarkStart w:id="2580" w:name="_Toc484438719"/>
      <w:bookmarkStart w:id="2581" w:name="_Toc484429144"/>
      <w:bookmarkStart w:id="2582" w:name="_Toc484428974"/>
      <w:bookmarkStart w:id="2583" w:name="_Toc484097800"/>
      <w:bookmarkStart w:id="2584" w:name="_Toc484011726"/>
      <w:bookmarkStart w:id="2585" w:name="_Toc484011251"/>
      <w:bookmarkStart w:id="2586" w:name="_Toc484011129"/>
      <w:bookmarkStart w:id="2587" w:name="_Toc484011007"/>
      <w:bookmarkStart w:id="2588" w:name="_Toc484010883"/>
      <w:bookmarkStart w:id="2589" w:name="_Toc484010761"/>
      <w:bookmarkStart w:id="2590" w:name="_Toc483907011"/>
      <w:bookmarkStart w:id="2591" w:name="_Toc483571633"/>
      <w:bookmarkStart w:id="2592" w:name="_Toc483571511"/>
      <w:bookmarkStart w:id="2593" w:name="_Toc483474080"/>
      <w:bookmarkStart w:id="2594" w:name="_Toc483401284"/>
      <w:bookmarkStart w:id="2595" w:name="_Toc483325806"/>
      <w:bookmarkStart w:id="2596" w:name="_Toc483316503"/>
      <w:bookmarkStart w:id="2597" w:name="_Toc483316372"/>
      <w:bookmarkStart w:id="2598" w:name="_Toc483316240"/>
      <w:bookmarkStart w:id="2599" w:name="_Toc483316035"/>
      <w:bookmarkStart w:id="2600" w:name="_Toc483302414"/>
      <w:bookmarkStart w:id="2601" w:name="_Toc483233697"/>
      <w:bookmarkStart w:id="2602" w:name="_Toc482979737"/>
      <w:bookmarkStart w:id="2603" w:name="_Toc482979639"/>
      <w:bookmarkStart w:id="2604" w:name="_Toc482979541"/>
      <w:bookmarkStart w:id="2605" w:name="_Toc482979433"/>
      <w:bookmarkStart w:id="2606" w:name="_Toc482979324"/>
      <w:bookmarkStart w:id="2607" w:name="_Toc482979215"/>
      <w:bookmarkStart w:id="2608" w:name="_Toc482979104"/>
      <w:bookmarkStart w:id="2609" w:name="_Toc482978996"/>
      <w:bookmarkStart w:id="2610" w:name="_Toc482978887"/>
      <w:bookmarkStart w:id="2611" w:name="_Toc482959768"/>
      <w:bookmarkStart w:id="2612" w:name="_Toc482959658"/>
      <w:bookmarkStart w:id="2613" w:name="_Toc482959548"/>
      <w:bookmarkStart w:id="2614" w:name="_Toc482712760"/>
      <w:bookmarkStart w:id="2615" w:name="_Toc482641314"/>
      <w:bookmarkStart w:id="2616" w:name="_Toc482633137"/>
      <w:bookmarkStart w:id="2617" w:name="_Toc482352296"/>
      <w:bookmarkStart w:id="2618" w:name="_Toc482352206"/>
      <w:bookmarkStart w:id="2619" w:name="_Toc482352116"/>
      <w:bookmarkStart w:id="2620" w:name="_Toc482352026"/>
      <w:bookmarkStart w:id="2621" w:name="_Toc482102162"/>
      <w:bookmarkStart w:id="2622" w:name="_Toc482102068"/>
      <w:bookmarkStart w:id="2623" w:name="_Toc482101973"/>
      <w:bookmarkStart w:id="2624" w:name="_Toc482101878"/>
      <w:bookmarkStart w:id="2625" w:name="_Toc482101785"/>
      <w:bookmarkStart w:id="2626" w:name="_Toc482101610"/>
      <w:bookmarkStart w:id="2627" w:name="_Toc482101495"/>
      <w:bookmarkStart w:id="2628" w:name="_Toc482101358"/>
      <w:bookmarkStart w:id="2629" w:name="_Toc482100932"/>
      <w:bookmarkStart w:id="2630" w:name="_Toc482100775"/>
      <w:bookmarkStart w:id="2631" w:name="_Toc482099058"/>
      <w:bookmarkStart w:id="2632" w:name="_Toc482097956"/>
      <w:bookmarkStart w:id="2633" w:name="_Toc482097764"/>
      <w:bookmarkStart w:id="2634" w:name="_Toc482097675"/>
      <w:bookmarkStart w:id="2635" w:name="_Toc482097586"/>
      <w:bookmarkStart w:id="2636" w:name="_Toc482025762"/>
      <w:bookmarkStart w:id="2637" w:name="_Toc485218342"/>
      <w:bookmarkStart w:id="2638" w:name="_Toc484688907"/>
      <w:bookmarkStart w:id="2639" w:name="_Toc484688352"/>
      <w:bookmarkStart w:id="2640" w:name="_Toc484605483"/>
      <w:bookmarkStart w:id="2641" w:name="_Toc484605359"/>
      <w:bookmarkStart w:id="2642" w:name="_Toc484526639"/>
      <w:bookmarkStart w:id="2643" w:name="_Toc484449144"/>
      <w:bookmarkStart w:id="2644" w:name="_Toc484449020"/>
      <w:bookmarkStart w:id="2645" w:name="_Toc484448896"/>
      <w:bookmarkStart w:id="2646" w:name="_Toc484448773"/>
      <w:bookmarkStart w:id="2647" w:name="_Toc484448649"/>
      <w:bookmarkStart w:id="2648" w:name="_Toc484448525"/>
      <w:bookmarkStart w:id="2649" w:name="_Toc484448401"/>
      <w:bookmarkStart w:id="2650" w:name="_Toc484448277"/>
      <w:bookmarkStart w:id="2651" w:name="_Toc484448153"/>
      <w:bookmarkStart w:id="2652" w:name="_Toc484440493"/>
      <w:bookmarkStart w:id="2653" w:name="_Toc484440133"/>
      <w:bookmarkStart w:id="2654" w:name="_Toc484440009"/>
      <w:bookmarkStart w:id="2655" w:name="_Toc484439886"/>
      <w:bookmarkStart w:id="2656" w:name="_Toc484438966"/>
      <w:bookmarkStart w:id="2657" w:name="_Toc484438842"/>
      <w:bookmarkStart w:id="2658" w:name="_Toc484438718"/>
      <w:bookmarkStart w:id="2659" w:name="_Toc484429143"/>
      <w:bookmarkStart w:id="2660" w:name="_Toc484428973"/>
      <w:bookmarkStart w:id="2661" w:name="_Toc484097799"/>
      <w:bookmarkStart w:id="2662" w:name="_Toc484011725"/>
      <w:bookmarkStart w:id="2663" w:name="_Toc484011250"/>
      <w:bookmarkStart w:id="2664" w:name="_Toc484011128"/>
      <w:bookmarkStart w:id="2665" w:name="_Toc484011006"/>
      <w:bookmarkStart w:id="2666" w:name="_Toc484010882"/>
      <w:bookmarkStart w:id="2667" w:name="_Toc484010760"/>
      <w:bookmarkStart w:id="2668" w:name="_Toc483907010"/>
      <w:bookmarkStart w:id="2669" w:name="_Toc483571632"/>
      <w:bookmarkStart w:id="2670" w:name="_Toc483571510"/>
      <w:bookmarkStart w:id="2671" w:name="_Toc483474079"/>
      <w:bookmarkStart w:id="2672" w:name="_Toc483401283"/>
      <w:bookmarkStart w:id="2673" w:name="_Toc483325805"/>
      <w:bookmarkStart w:id="2674" w:name="_Toc483316502"/>
      <w:bookmarkStart w:id="2675" w:name="_Toc483316371"/>
      <w:bookmarkStart w:id="2676" w:name="_Toc483316239"/>
      <w:bookmarkStart w:id="2677" w:name="_Toc483316034"/>
      <w:bookmarkStart w:id="2678" w:name="_Toc483302413"/>
      <w:bookmarkStart w:id="2679" w:name="_Toc483233696"/>
      <w:bookmarkStart w:id="2680" w:name="_Toc482979736"/>
      <w:bookmarkStart w:id="2681" w:name="_Toc482979638"/>
      <w:bookmarkStart w:id="2682" w:name="_Toc482979540"/>
      <w:bookmarkStart w:id="2683" w:name="_Toc482979432"/>
      <w:bookmarkStart w:id="2684" w:name="_Toc482979323"/>
      <w:bookmarkStart w:id="2685" w:name="_Toc482979214"/>
      <w:bookmarkStart w:id="2686" w:name="_Toc482979103"/>
      <w:bookmarkStart w:id="2687" w:name="_Toc482978995"/>
      <w:bookmarkStart w:id="2688" w:name="_Toc482978886"/>
      <w:bookmarkStart w:id="2689" w:name="_Toc482959767"/>
      <w:bookmarkStart w:id="2690" w:name="_Toc482959657"/>
      <w:bookmarkStart w:id="2691" w:name="_Toc482959547"/>
      <w:bookmarkStart w:id="2692" w:name="_Toc482712759"/>
      <w:bookmarkStart w:id="2693" w:name="_Toc482641313"/>
      <w:bookmarkStart w:id="2694" w:name="_Toc482633136"/>
      <w:bookmarkStart w:id="2695" w:name="_Toc482352295"/>
      <w:bookmarkStart w:id="2696" w:name="_Toc482352205"/>
      <w:bookmarkStart w:id="2697" w:name="_Toc482352115"/>
      <w:bookmarkStart w:id="2698" w:name="_Toc482352025"/>
      <w:bookmarkStart w:id="2699" w:name="_Toc482102161"/>
      <w:bookmarkStart w:id="2700" w:name="_Toc482102067"/>
      <w:bookmarkStart w:id="2701" w:name="_Toc482101972"/>
      <w:bookmarkStart w:id="2702" w:name="_Toc482101877"/>
      <w:bookmarkStart w:id="2703" w:name="_Toc482101784"/>
      <w:bookmarkStart w:id="2704" w:name="_Toc482101609"/>
      <w:bookmarkStart w:id="2705" w:name="_Toc482101494"/>
      <w:bookmarkStart w:id="2706" w:name="_Toc482101357"/>
      <w:bookmarkStart w:id="2707" w:name="_Toc482100931"/>
      <w:bookmarkStart w:id="2708" w:name="_Toc482100774"/>
      <w:bookmarkStart w:id="2709" w:name="_Toc482099057"/>
      <w:bookmarkStart w:id="2710" w:name="_Toc482097955"/>
      <w:bookmarkStart w:id="2711" w:name="_Toc482097763"/>
      <w:bookmarkStart w:id="2712" w:name="_Toc482097674"/>
      <w:bookmarkStart w:id="2713" w:name="_Toc482097585"/>
      <w:bookmarkStart w:id="2714" w:name="_Toc482025761"/>
      <w:bookmarkStart w:id="2715" w:name="_Toc485218341"/>
      <w:bookmarkStart w:id="2716" w:name="_Toc484688906"/>
      <w:bookmarkStart w:id="2717" w:name="_Toc484688351"/>
      <w:bookmarkStart w:id="2718" w:name="_Toc484605482"/>
      <w:bookmarkStart w:id="2719" w:name="_Toc484605358"/>
      <w:bookmarkStart w:id="2720" w:name="_Toc484526638"/>
      <w:bookmarkStart w:id="2721" w:name="_Toc484449143"/>
      <w:bookmarkStart w:id="2722" w:name="_Toc484449019"/>
      <w:bookmarkStart w:id="2723" w:name="_Toc484448895"/>
      <w:bookmarkStart w:id="2724" w:name="_Toc484448772"/>
      <w:bookmarkStart w:id="2725" w:name="_Toc484448648"/>
      <w:bookmarkStart w:id="2726" w:name="_Toc484448524"/>
      <w:bookmarkStart w:id="2727" w:name="_Toc484448400"/>
      <w:bookmarkStart w:id="2728" w:name="_Toc484448276"/>
      <w:bookmarkStart w:id="2729" w:name="_Toc484448152"/>
      <w:bookmarkStart w:id="2730" w:name="_Toc484440492"/>
      <w:bookmarkStart w:id="2731" w:name="_Toc484440132"/>
      <w:bookmarkStart w:id="2732" w:name="_Toc484440008"/>
      <w:bookmarkStart w:id="2733" w:name="_Toc484439885"/>
      <w:bookmarkStart w:id="2734" w:name="_Toc484438965"/>
      <w:bookmarkStart w:id="2735" w:name="_Toc484438841"/>
      <w:bookmarkStart w:id="2736" w:name="_Toc484438717"/>
      <w:bookmarkStart w:id="2737" w:name="_Toc484429142"/>
      <w:bookmarkStart w:id="2738" w:name="_Toc484428972"/>
      <w:bookmarkStart w:id="2739" w:name="_Toc484097798"/>
      <w:bookmarkStart w:id="2740" w:name="_Toc484011724"/>
      <w:bookmarkStart w:id="2741" w:name="_Toc484011249"/>
      <w:bookmarkStart w:id="2742" w:name="_Toc484011127"/>
      <w:bookmarkStart w:id="2743" w:name="_Toc484011005"/>
      <w:bookmarkStart w:id="2744" w:name="_Toc484010881"/>
      <w:bookmarkStart w:id="2745" w:name="_Toc484010759"/>
      <w:bookmarkStart w:id="2746" w:name="_Toc483907009"/>
      <w:bookmarkStart w:id="2747" w:name="_Toc483571631"/>
      <w:bookmarkStart w:id="2748" w:name="_Toc483571509"/>
      <w:bookmarkStart w:id="2749" w:name="_Toc483474078"/>
      <w:bookmarkStart w:id="2750" w:name="_Toc483401282"/>
      <w:bookmarkStart w:id="2751" w:name="_Toc483325804"/>
      <w:bookmarkStart w:id="2752" w:name="_Toc483316501"/>
      <w:bookmarkStart w:id="2753" w:name="_Toc483316370"/>
      <w:bookmarkStart w:id="2754" w:name="_Toc483316238"/>
      <w:bookmarkStart w:id="2755" w:name="_Toc483316033"/>
      <w:bookmarkStart w:id="2756" w:name="_Toc483302412"/>
      <w:bookmarkStart w:id="2757" w:name="_Toc483233695"/>
      <w:bookmarkStart w:id="2758" w:name="_Toc482979735"/>
      <w:bookmarkStart w:id="2759" w:name="_Toc482979637"/>
      <w:bookmarkStart w:id="2760" w:name="_Toc482979539"/>
      <w:bookmarkStart w:id="2761" w:name="_Toc482979431"/>
      <w:bookmarkStart w:id="2762" w:name="_Toc482979322"/>
      <w:bookmarkStart w:id="2763" w:name="_Toc482979213"/>
      <w:bookmarkStart w:id="2764" w:name="_Toc482979102"/>
      <w:bookmarkStart w:id="2765" w:name="_Toc482978994"/>
      <w:bookmarkStart w:id="2766" w:name="_Toc482978885"/>
      <w:bookmarkStart w:id="2767" w:name="_Toc482959766"/>
      <w:bookmarkStart w:id="2768" w:name="_Toc482959656"/>
      <w:bookmarkStart w:id="2769" w:name="_Toc482959546"/>
      <w:bookmarkStart w:id="2770" w:name="_Toc482712758"/>
      <w:bookmarkStart w:id="2771" w:name="_Toc482641312"/>
      <w:bookmarkStart w:id="2772" w:name="_Toc482633135"/>
      <w:bookmarkStart w:id="2773" w:name="_Toc482352294"/>
      <w:bookmarkStart w:id="2774" w:name="_Toc482352204"/>
      <w:bookmarkStart w:id="2775" w:name="_Toc482352114"/>
      <w:bookmarkStart w:id="2776" w:name="_Toc482352024"/>
      <w:bookmarkStart w:id="2777" w:name="_Toc482102160"/>
      <w:bookmarkStart w:id="2778" w:name="_Toc482102066"/>
      <w:bookmarkStart w:id="2779" w:name="_Toc482101971"/>
      <w:bookmarkStart w:id="2780" w:name="_Toc482101876"/>
      <w:bookmarkStart w:id="2781" w:name="_Toc482101783"/>
      <w:bookmarkStart w:id="2782" w:name="_Toc482101608"/>
      <w:bookmarkStart w:id="2783" w:name="_Toc482101493"/>
      <w:bookmarkStart w:id="2784" w:name="_Toc482101356"/>
      <w:bookmarkStart w:id="2785" w:name="_Toc482100930"/>
      <w:bookmarkStart w:id="2786" w:name="_Toc482100773"/>
      <w:bookmarkStart w:id="2787" w:name="_Toc482099056"/>
      <w:bookmarkStart w:id="2788" w:name="_Toc482097954"/>
      <w:bookmarkStart w:id="2789" w:name="_Toc482097762"/>
      <w:bookmarkStart w:id="2790" w:name="_Toc482097673"/>
      <w:bookmarkStart w:id="2791" w:name="_Toc482097584"/>
      <w:bookmarkStart w:id="2792" w:name="_Toc482025760"/>
      <w:bookmarkStart w:id="2793" w:name="_Toc485218340"/>
      <w:bookmarkStart w:id="2794" w:name="_Toc484688905"/>
      <w:bookmarkStart w:id="2795" w:name="_Toc484688350"/>
      <w:bookmarkStart w:id="2796" w:name="_Toc484605481"/>
      <w:bookmarkStart w:id="2797" w:name="_Toc484605357"/>
      <w:bookmarkStart w:id="2798" w:name="_Toc484526637"/>
      <w:bookmarkStart w:id="2799" w:name="_Toc484449142"/>
      <w:bookmarkStart w:id="2800" w:name="_Toc484449018"/>
      <w:bookmarkStart w:id="2801" w:name="_Toc484448894"/>
      <w:bookmarkStart w:id="2802" w:name="_Toc484448771"/>
      <w:bookmarkStart w:id="2803" w:name="_Toc484448647"/>
      <w:bookmarkStart w:id="2804" w:name="_Toc484448523"/>
      <w:bookmarkStart w:id="2805" w:name="_Toc484448399"/>
      <w:bookmarkStart w:id="2806" w:name="_Toc484448275"/>
      <w:bookmarkStart w:id="2807" w:name="_Toc484448151"/>
      <w:bookmarkStart w:id="2808" w:name="_Toc484440491"/>
      <w:bookmarkStart w:id="2809" w:name="_Toc484440131"/>
      <w:bookmarkStart w:id="2810" w:name="_Toc484440007"/>
      <w:bookmarkStart w:id="2811" w:name="_Toc484439884"/>
      <w:bookmarkStart w:id="2812" w:name="_Toc484438964"/>
      <w:bookmarkStart w:id="2813" w:name="_Toc484438840"/>
      <w:bookmarkStart w:id="2814" w:name="_Toc484438716"/>
      <w:bookmarkStart w:id="2815" w:name="_Toc484429141"/>
      <w:bookmarkStart w:id="2816" w:name="_Toc484428971"/>
      <w:bookmarkStart w:id="2817" w:name="_Toc484097797"/>
      <w:bookmarkStart w:id="2818" w:name="_Toc484011723"/>
      <w:bookmarkStart w:id="2819" w:name="_Toc484011248"/>
      <w:bookmarkStart w:id="2820" w:name="_Toc484011126"/>
      <w:bookmarkStart w:id="2821" w:name="_Toc484011004"/>
      <w:bookmarkStart w:id="2822" w:name="_Toc484010880"/>
      <w:bookmarkStart w:id="2823" w:name="_Toc484010758"/>
      <w:bookmarkStart w:id="2824" w:name="_Toc483907008"/>
      <w:bookmarkStart w:id="2825" w:name="_Toc483571630"/>
      <w:bookmarkStart w:id="2826" w:name="_Toc483571508"/>
      <w:bookmarkStart w:id="2827" w:name="_Toc483474077"/>
      <w:bookmarkStart w:id="2828" w:name="_Toc483401281"/>
      <w:bookmarkStart w:id="2829" w:name="_Toc483325803"/>
      <w:bookmarkStart w:id="2830" w:name="_Toc483316500"/>
      <w:bookmarkStart w:id="2831" w:name="_Toc483316369"/>
      <w:bookmarkStart w:id="2832" w:name="_Toc483316237"/>
      <w:bookmarkStart w:id="2833" w:name="_Toc483316032"/>
      <w:bookmarkStart w:id="2834" w:name="_Toc483302411"/>
      <w:bookmarkStart w:id="2835" w:name="_Toc483233694"/>
      <w:bookmarkStart w:id="2836" w:name="_Toc482979734"/>
      <w:bookmarkStart w:id="2837" w:name="_Toc482979636"/>
      <w:bookmarkStart w:id="2838" w:name="_Toc482979538"/>
      <w:bookmarkStart w:id="2839" w:name="_Toc482979430"/>
      <w:bookmarkStart w:id="2840" w:name="_Toc482979321"/>
      <w:bookmarkStart w:id="2841" w:name="_Toc482979212"/>
      <w:bookmarkStart w:id="2842" w:name="_Toc482979101"/>
      <w:bookmarkStart w:id="2843" w:name="_Toc482978993"/>
      <w:bookmarkStart w:id="2844" w:name="_Toc482978884"/>
      <w:bookmarkStart w:id="2845" w:name="_Toc482959765"/>
      <w:bookmarkStart w:id="2846" w:name="_Toc482959655"/>
      <w:bookmarkStart w:id="2847" w:name="_Toc482959545"/>
      <w:bookmarkStart w:id="2848" w:name="_Toc482712757"/>
      <w:bookmarkStart w:id="2849" w:name="_Toc482641311"/>
      <w:bookmarkStart w:id="2850" w:name="_Toc482633134"/>
      <w:bookmarkStart w:id="2851" w:name="_Toc482352293"/>
      <w:bookmarkStart w:id="2852" w:name="_Toc482352203"/>
      <w:bookmarkStart w:id="2853" w:name="_Toc482352113"/>
      <w:bookmarkStart w:id="2854" w:name="_Toc482352023"/>
      <w:bookmarkStart w:id="2855" w:name="_Toc482102159"/>
      <w:bookmarkStart w:id="2856" w:name="_Toc482102065"/>
      <w:bookmarkStart w:id="2857" w:name="_Toc482101970"/>
      <w:bookmarkStart w:id="2858" w:name="_Toc482101875"/>
      <w:bookmarkStart w:id="2859" w:name="_Toc482101782"/>
      <w:bookmarkStart w:id="2860" w:name="_Toc482101607"/>
      <w:bookmarkStart w:id="2861" w:name="_Toc482101492"/>
      <w:bookmarkStart w:id="2862" w:name="_Toc482101355"/>
      <w:bookmarkStart w:id="2863" w:name="_Toc482100929"/>
      <w:bookmarkStart w:id="2864" w:name="_Toc482100772"/>
      <w:bookmarkStart w:id="2865" w:name="_Toc482099055"/>
      <w:bookmarkStart w:id="2866" w:name="_Toc482097953"/>
      <w:bookmarkStart w:id="2867" w:name="_Toc482097761"/>
      <w:bookmarkStart w:id="2868" w:name="_Toc482097672"/>
      <w:bookmarkStart w:id="2869" w:name="_Toc482097583"/>
      <w:bookmarkStart w:id="2870" w:name="_Toc482025759"/>
      <w:bookmarkStart w:id="2871" w:name="_Toc485218339"/>
      <w:bookmarkStart w:id="2872" w:name="_Toc484688904"/>
      <w:bookmarkStart w:id="2873" w:name="_Toc484688349"/>
      <w:bookmarkStart w:id="2874" w:name="_Toc484605480"/>
      <w:bookmarkStart w:id="2875" w:name="_Toc484605356"/>
      <w:bookmarkStart w:id="2876" w:name="_Toc484526636"/>
      <w:bookmarkStart w:id="2877" w:name="_Toc484449141"/>
      <w:bookmarkStart w:id="2878" w:name="_Toc484449017"/>
      <w:bookmarkStart w:id="2879" w:name="_Toc484448893"/>
      <w:bookmarkStart w:id="2880" w:name="_Toc484448770"/>
      <w:bookmarkStart w:id="2881" w:name="_Toc484448646"/>
      <w:bookmarkStart w:id="2882" w:name="_Toc484448522"/>
      <w:bookmarkStart w:id="2883" w:name="_Toc484448398"/>
      <w:bookmarkStart w:id="2884" w:name="_Toc484448274"/>
      <w:bookmarkStart w:id="2885" w:name="_Toc484448150"/>
      <w:bookmarkStart w:id="2886" w:name="_Toc484440490"/>
      <w:bookmarkStart w:id="2887" w:name="_Toc484440130"/>
      <w:bookmarkStart w:id="2888" w:name="_Toc484440006"/>
      <w:bookmarkStart w:id="2889" w:name="_Toc484439883"/>
      <w:bookmarkStart w:id="2890" w:name="_Toc484438963"/>
      <w:bookmarkStart w:id="2891" w:name="_Toc484438839"/>
      <w:bookmarkStart w:id="2892" w:name="_Toc484438715"/>
      <w:bookmarkStart w:id="2893" w:name="_Toc484429140"/>
      <w:bookmarkStart w:id="2894" w:name="_Toc484428970"/>
      <w:bookmarkStart w:id="2895" w:name="_Toc484097796"/>
      <w:bookmarkStart w:id="2896" w:name="_Toc484011722"/>
      <w:bookmarkStart w:id="2897" w:name="_Toc484011247"/>
      <w:bookmarkStart w:id="2898" w:name="_Toc484011125"/>
      <w:bookmarkStart w:id="2899" w:name="_Toc484011003"/>
      <w:bookmarkStart w:id="2900" w:name="_Toc484010879"/>
      <w:bookmarkStart w:id="2901" w:name="_Toc484010757"/>
      <w:bookmarkStart w:id="2902" w:name="_Toc483907007"/>
      <w:bookmarkStart w:id="2903" w:name="_Toc483571629"/>
      <w:bookmarkStart w:id="2904" w:name="_Toc483571507"/>
      <w:bookmarkStart w:id="2905" w:name="_Toc483474076"/>
      <w:bookmarkStart w:id="2906" w:name="_Toc483401280"/>
      <w:bookmarkStart w:id="2907" w:name="_Toc483325802"/>
      <w:bookmarkStart w:id="2908" w:name="_Toc483316499"/>
      <w:bookmarkStart w:id="2909" w:name="_Toc483316368"/>
      <w:bookmarkStart w:id="2910" w:name="_Toc483316236"/>
      <w:bookmarkStart w:id="2911" w:name="_Toc483316031"/>
      <w:bookmarkStart w:id="2912" w:name="_Toc483302410"/>
      <w:bookmarkStart w:id="2913" w:name="_Toc483233693"/>
      <w:bookmarkStart w:id="2914" w:name="_Toc482979733"/>
      <w:bookmarkStart w:id="2915" w:name="_Toc482979635"/>
      <w:bookmarkStart w:id="2916" w:name="_Toc482979537"/>
      <w:bookmarkStart w:id="2917" w:name="_Toc482979429"/>
      <w:bookmarkStart w:id="2918" w:name="_Toc482979320"/>
      <w:bookmarkStart w:id="2919" w:name="_Toc482979211"/>
      <w:bookmarkStart w:id="2920" w:name="_Toc482979100"/>
      <w:bookmarkStart w:id="2921" w:name="_Toc482978992"/>
      <w:bookmarkStart w:id="2922" w:name="_Toc482978883"/>
      <w:bookmarkStart w:id="2923" w:name="_Toc482959764"/>
      <w:bookmarkStart w:id="2924" w:name="_Toc482959654"/>
      <w:bookmarkStart w:id="2925" w:name="_Toc482959544"/>
      <w:bookmarkStart w:id="2926" w:name="_Toc482712756"/>
      <w:bookmarkStart w:id="2927" w:name="_Toc482641310"/>
      <w:bookmarkStart w:id="2928" w:name="_Toc482633133"/>
      <w:bookmarkStart w:id="2929" w:name="_Toc482352292"/>
      <w:bookmarkStart w:id="2930" w:name="_Toc482352202"/>
      <w:bookmarkStart w:id="2931" w:name="_Toc482352112"/>
      <w:bookmarkStart w:id="2932" w:name="_Toc482352022"/>
      <w:bookmarkStart w:id="2933" w:name="_Toc482102158"/>
      <w:bookmarkStart w:id="2934" w:name="_Toc482102064"/>
      <w:bookmarkStart w:id="2935" w:name="_Toc482101969"/>
      <w:bookmarkStart w:id="2936" w:name="_Toc482101874"/>
      <w:bookmarkStart w:id="2937" w:name="_Toc482101781"/>
      <w:bookmarkStart w:id="2938" w:name="_Toc482101606"/>
      <w:bookmarkStart w:id="2939" w:name="_Toc482101491"/>
      <w:bookmarkStart w:id="2940" w:name="_Toc482101354"/>
      <w:bookmarkStart w:id="2941" w:name="_Toc482100928"/>
      <w:bookmarkStart w:id="2942" w:name="_Toc482100771"/>
      <w:bookmarkStart w:id="2943" w:name="_Toc482099054"/>
      <w:bookmarkStart w:id="2944" w:name="_Toc482097952"/>
      <w:bookmarkStart w:id="2945" w:name="_Toc482097760"/>
      <w:bookmarkStart w:id="2946" w:name="_Toc482097671"/>
      <w:bookmarkStart w:id="2947" w:name="_Toc482097582"/>
      <w:bookmarkStart w:id="2948" w:name="_Toc482025758"/>
      <w:bookmarkStart w:id="2949" w:name="_Toc485218338"/>
      <w:bookmarkStart w:id="2950" w:name="_Toc484688903"/>
      <w:bookmarkStart w:id="2951" w:name="_Toc484688348"/>
      <w:bookmarkStart w:id="2952" w:name="_Toc484605479"/>
      <w:bookmarkStart w:id="2953" w:name="_Toc484605355"/>
      <w:bookmarkStart w:id="2954" w:name="_Toc484526635"/>
      <w:bookmarkStart w:id="2955" w:name="_Toc484449140"/>
      <w:bookmarkStart w:id="2956" w:name="_Toc484449016"/>
      <w:bookmarkStart w:id="2957" w:name="_Toc484448892"/>
      <w:bookmarkStart w:id="2958" w:name="_Toc484448769"/>
      <w:bookmarkStart w:id="2959" w:name="_Toc484448645"/>
      <w:bookmarkStart w:id="2960" w:name="_Toc484448521"/>
      <w:bookmarkStart w:id="2961" w:name="_Toc484448397"/>
      <w:bookmarkStart w:id="2962" w:name="_Toc484448273"/>
      <w:bookmarkStart w:id="2963" w:name="_Toc484448149"/>
      <w:bookmarkStart w:id="2964" w:name="_Toc484440489"/>
      <w:bookmarkStart w:id="2965" w:name="_Toc484440129"/>
      <w:bookmarkStart w:id="2966" w:name="_Toc484440005"/>
      <w:bookmarkStart w:id="2967" w:name="_Toc484439882"/>
      <w:bookmarkStart w:id="2968" w:name="_Toc484438962"/>
      <w:bookmarkStart w:id="2969" w:name="_Toc484438838"/>
      <w:bookmarkStart w:id="2970" w:name="_Toc484438714"/>
      <w:bookmarkStart w:id="2971" w:name="_Toc484429139"/>
      <w:bookmarkStart w:id="2972" w:name="_Toc484428969"/>
      <w:bookmarkStart w:id="2973" w:name="_Toc484097795"/>
      <w:bookmarkStart w:id="2974" w:name="_Toc484011721"/>
      <w:bookmarkStart w:id="2975" w:name="_Toc484011246"/>
      <w:bookmarkStart w:id="2976" w:name="_Toc484011124"/>
      <w:bookmarkStart w:id="2977" w:name="_Toc484011002"/>
      <w:bookmarkStart w:id="2978" w:name="_Toc484010878"/>
      <w:bookmarkStart w:id="2979" w:name="_Toc484010756"/>
      <w:bookmarkStart w:id="2980" w:name="_Toc483907006"/>
      <w:bookmarkStart w:id="2981" w:name="_Toc483571628"/>
      <w:bookmarkStart w:id="2982" w:name="_Toc483571506"/>
      <w:bookmarkStart w:id="2983" w:name="_Toc483474075"/>
      <w:bookmarkStart w:id="2984" w:name="_Toc483401279"/>
      <w:bookmarkStart w:id="2985" w:name="_Toc483325801"/>
      <w:bookmarkStart w:id="2986" w:name="_Toc483316498"/>
      <w:bookmarkStart w:id="2987" w:name="_Toc483316367"/>
      <w:bookmarkStart w:id="2988" w:name="_Toc483316235"/>
      <w:bookmarkStart w:id="2989" w:name="_Toc483316030"/>
      <w:bookmarkStart w:id="2990" w:name="_Toc483302409"/>
      <w:bookmarkStart w:id="2991" w:name="_Toc483233692"/>
      <w:bookmarkStart w:id="2992" w:name="_Toc482979732"/>
      <w:bookmarkStart w:id="2993" w:name="_Toc482979634"/>
      <w:bookmarkStart w:id="2994" w:name="_Toc482979536"/>
      <w:bookmarkStart w:id="2995" w:name="_Toc482979428"/>
      <w:bookmarkStart w:id="2996" w:name="_Toc482979319"/>
      <w:bookmarkStart w:id="2997" w:name="_Toc482979210"/>
      <w:bookmarkStart w:id="2998" w:name="_Toc482979099"/>
      <w:bookmarkStart w:id="2999" w:name="_Toc482978991"/>
      <w:bookmarkStart w:id="3000" w:name="_Toc482978882"/>
      <w:bookmarkStart w:id="3001" w:name="_Toc482959763"/>
      <w:bookmarkStart w:id="3002" w:name="_Toc482959653"/>
      <w:bookmarkStart w:id="3003" w:name="_Toc482959543"/>
      <w:bookmarkStart w:id="3004" w:name="_Toc482712755"/>
      <w:bookmarkStart w:id="3005" w:name="_Toc482641309"/>
      <w:bookmarkStart w:id="3006" w:name="_Toc482633132"/>
      <w:bookmarkStart w:id="3007" w:name="_Toc482352291"/>
      <w:bookmarkStart w:id="3008" w:name="_Toc482352201"/>
      <w:bookmarkStart w:id="3009" w:name="_Toc482352111"/>
      <w:bookmarkStart w:id="3010" w:name="_Toc482352021"/>
      <w:bookmarkStart w:id="3011" w:name="_Toc482102157"/>
      <w:bookmarkStart w:id="3012" w:name="_Toc482102063"/>
      <w:bookmarkStart w:id="3013" w:name="_Toc482101968"/>
      <w:bookmarkStart w:id="3014" w:name="_Toc482101873"/>
      <w:bookmarkStart w:id="3015" w:name="_Toc482101780"/>
      <w:bookmarkStart w:id="3016" w:name="_Toc482101605"/>
      <w:bookmarkStart w:id="3017" w:name="_Toc482101490"/>
      <w:bookmarkStart w:id="3018" w:name="_Toc482101353"/>
      <w:bookmarkStart w:id="3019" w:name="_Toc482100927"/>
      <w:bookmarkStart w:id="3020" w:name="_Toc482100770"/>
      <w:bookmarkStart w:id="3021" w:name="_Toc482099053"/>
      <w:bookmarkStart w:id="3022" w:name="_Toc482097951"/>
      <w:bookmarkStart w:id="3023" w:name="_Toc482097759"/>
      <w:bookmarkStart w:id="3024" w:name="_Toc482097670"/>
      <w:bookmarkStart w:id="3025" w:name="_Toc482097581"/>
      <w:bookmarkStart w:id="3026" w:name="_Toc482025757"/>
      <w:bookmarkStart w:id="3027" w:name="_Toc485218337"/>
      <w:bookmarkStart w:id="3028" w:name="_Toc484688902"/>
      <w:bookmarkStart w:id="3029" w:name="_Toc484688347"/>
      <w:bookmarkStart w:id="3030" w:name="_Toc484605478"/>
      <w:bookmarkStart w:id="3031" w:name="_Toc484605354"/>
      <w:bookmarkStart w:id="3032" w:name="_Toc484526634"/>
      <w:bookmarkStart w:id="3033" w:name="_Toc484449139"/>
      <w:bookmarkStart w:id="3034" w:name="_Toc484449015"/>
      <w:bookmarkStart w:id="3035" w:name="_Toc484448891"/>
      <w:bookmarkStart w:id="3036" w:name="_Toc484448768"/>
      <w:bookmarkStart w:id="3037" w:name="_Toc484448644"/>
      <w:bookmarkStart w:id="3038" w:name="_Toc484448520"/>
      <w:bookmarkStart w:id="3039" w:name="_Toc484448396"/>
      <w:bookmarkStart w:id="3040" w:name="_Toc484448272"/>
      <w:bookmarkStart w:id="3041" w:name="_Toc484448148"/>
      <w:bookmarkStart w:id="3042" w:name="_Toc484440488"/>
      <w:bookmarkStart w:id="3043" w:name="_Toc484440128"/>
      <w:bookmarkStart w:id="3044" w:name="_Toc484440004"/>
      <w:bookmarkStart w:id="3045" w:name="_Toc484439881"/>
      <w:bookmarkStart w:id="3046" w:name="_Toc484438961"/>
      <w:bookmarkStart w:id="3047" w:name="_Toc484438837"/>
      <w:bookmarkStart w:id="3048" w:name="_Toc484438713"/>
      <w:bookmarkStart w:id="3049" w:name="_Toc484429138"/>
      <w:bookmarkStart w:id="3050" w:name="_Toc484428968"/>
      <w:bookmarkStart w:id="3051" w:name="_Toc484097794"/>
      <w:bookmarkStart w:id="3052" w:name="_Toc484011720"/>
      <w:bookmarkStart w:id="3053" w:name="_Toc484011245"/>
      <w:bookmarkStart w:id="3054" w:name="_Toc484011123"/>
      <w:bookmarkStart w:id="3055" w:name="_Toc484011001"/>
      <w:bookmarkStart w:id="3056" w:name="_Toc484010877"/>
      <w:bookmarkStart w:id="3057" w:name="_Toc484010755"/>
      <w:bookmarkStart w:id="3058" w:name="_Toc483907005"/>
      <w:bookmarkStart w:id="3059" w:name="_Toc483571627"/>
      <w:bookmarkStart w:id="3060" w:name="_Toc483571505"/>
      <w:bookmarkStart w:id="3061" w:name="_Toc483474074"/>
      <w:bookmarkStart w:id="3062" w:name="_Toc483401278"/>
      <w:bookmarkStart w:id="3063" w:name="_Toc483325800"/>
      <w:bookmarkStart w:id="3064" w:name="_Toc483316497"/>
      <w:bookmarkStart w:id="3065" w:name="_Toc483316366"/>
      <w:bookmarkStart w:id="3066" w:name="_Toc483316234"/>
      <w:bookmarkStart w:id="3067" w:name="_Toc483316029"/>
      <w:bookmarkStart w:id="3068" w:name="_Toc483302408"/>
      <w:bookmarkStart w:id="3069" w:name="_Toc483233691"/>
      <w:bookmarkStart w:id="3070" w:name="_Toc482979731"/>
      <w:bookmarkStart w:id="3071" w:name="_Toc482979633"/>
      <w:bookmarkStart w:id="3072" w:name="_Toc482979535"/>
      <w:bookmarkStart w:id="3073" w:name="_Toc482979427"/>
      <w:bookmarkStart w:id="3074" w:name="_Toc482979318"/>
      <w:bookmarkStart w:id="3075" w:name="_Toc482979209"/>
      <w:bookmarkStart w:id="3076" w:name="_Toc482979098"/>
      <w:bookmarkStart w:id="3077" w:name="_Toc482978990"/>
      <w:bookmarkStart w:id="3078" w:name="_Toc482978881"/>
      <w:bookmarkStart w:id="3079" w:name="_Toc482959762"/>
      <w:bookmarkStart w:id="3080" w:name="_Toc482959652"/>
      <w:bookmarkStart w:id="3081" w:name="_Toc482959542"/>
      <w:bookmarkStart w:id="3082" w:name="_Toc482712754"/>
      <w:bookmarkStart w:id="3083" w:name="_Toc482641308"/>
      <w:bookmarkStart w:id="3084" w:name="_Toc482633131"/>
      <w:bookmarkStart w:id="3085" w:name="_Toc482352290"/>
      <w:bookmarkStart w:id="3086" w:name="_Toc482352200"/>
      <w:bookmarkStart w:id="3087" w:name="_Toc482352110"/>
      <w:bookmarkStart w:id="3088" w:name="_Toc482352020"/>
      <w:bookmarkStart w:id="3089" w:name="_Toc482102156"/>
      <w:bookmarkStart w:id="3090" w:name="_Toc482102062"/>
      <w:bookmarkStart w:id="3091" w:name="_Toc482101967"/>
      <w:bookmarkStart w:id="3092" w:name="_Toc482101872"/>
      <w:bookmarkStart w:id="3093" w:name="_Toc482101779"/>
      <w:bookmarkStart w:id="3094" w:name="_Toc482101604"/>
      <w:bookmarkStart w:id="3095" w:name="_Toc482101489"/>
      <w:bookmarkStart w:id="3096" w:name="_Toc482101352"/>
      <w:bookmarkStart w:id="3097" w:name="_Toc482100926"/>
      <w:bookmarkStart w:id="3098" w:name="_Toc482100769"/>
      <w:bookmarkStart w:id="3099" w:name="_Toc482099052"/>
      <w:bookmarkStart w:id="3100" w:name="_Toc482097950"/>
      <w:bookmarkStart w:id="3101" w:name="_Toc482097758"/>
      <w:bookmarkStart w:id="3102" w:name="_Toc482097669"/>
      <w:bookmarkStart w:id="3103" w:name="_Toc482097580"/>
      <w:bookmarkStart w:id="3104" w:name="_Toc482025756"/>
      <w:bookmarkStart w:id="3105" w:name="_Toc485218348"/>
      <w:bookmarkStart w:id="3106" w:name="_Toc484688913"/>
      <w:bookmarkStart w:id="3107" w:name="_Ref498613645"/>
      <w:bookmarkStart w:id="3108" w:name="_Toc139549455"/>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r>
        <w:rPr>
          <w:rFonts w:ascii="Titillium" w:hAnsi="Titillium"/>
          <w:sz w:val="18"/>
          <w:szCs w:val="18"/>
        </w:rPr>
        <w:t xml:space="preserve">AGGIUDICAZIONE </w:t>
      </w:r>
      <w:r>
        <w:rPr>
          <w:rFonts w:ascii="Titillium" w:hAnsi="Titillium"/>
          <w:caps w:val="0"/>
          <w:sz w:val="18"/>
          <w:szCs w:val="18"/>
          <w:lang w:val="it-IT"/>
        </w:rPr>
        <w:t xml:space="preserve">DELL’APPALTO </w:t>
      </w:r>
      <w:r>
        <w:rPr>
          <w:rFonts w:ascii="Titillium" w:hAnsi="Titillium"/>
          <w:caps w:val="0"/>
          <w:sz w:val="18"/>
          <w:szCs w:val="18"/>
        </w:rPr>
        <w:t xml:space="preserve">E STIPULA </w:t>
      </w:r>
      <w:r>
        <w:rPr>
          <w:rFonts w:ascii="Titillium" w:hAnsi="Titillium"/>
          <w:sz w:val="18"/>
          <w:szCs w:val="18"/>
        </w:rPr>
        <w:t>DEL CONTRATTO</w:t>
      </w:r>
      <w:bookmarkStart w:id="3109" w:name="_Ref531265966"/>
      <w:bookmarkEnd w:id="3107"/>
      <w:bookmarkEnd w:id="3108"/>
      <w:bookmarkEnd w:id="3109"/>
    </w:p>
    <w:p w14:paraId="36D2B0EF"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La proposta di aggiudicazione è formulata in favore del concorrente che ha presentato la migliore offerta. </w:t>
      </w:r>
    </w:p>
    <w:p w14:paraId="4BDAA06F" w14:textId="77777777" w:rsidR="00276DF7" w:rsidRPr="00C3158B" w:rsidRDefault="00276DF7" w:rsidP="00276DF7">
      <w:pPr>
        <w:shd w:val="clear" w:color="auto" w:fill="F2F2F2" w:themeFill="background1" w:themeFillShade="F2"/>
        <w:rPr>
          <w:rFonts w:ascii="Titillium" w:hAnsi="Titillium" w:cs="Calibri"/>
          <w:sz w:val="18"/>
          <w:szCs w:val="18"/>
        </w:rPr>
      </w:pPr>
      <w:r w:rsidRPr="009B76BD">
        <w:rPr>
          <w:rFonts w:ascii="Titillium" w:hAnsi="Titillium" w:cs="Calibri"/>
          <w:b/>
          <w:i/>
          <w:sz w:val="18"/>
          <w:szCs w:val="18"/>
        </w:rPr>
        <w:t>[Facoltativo]</w:t>
      </w:r>
      <w:r w:rsidRPr="009B76BD">
        <w:rPr>
          <w:rFonts w:ascii="Titillium" w:hAnsi="Titillium" w:cs="Calibri"/>
          <w:b/>
          <w:sz w:val="18"/>
          <w:szCs w:val="18"/>
        </w:rPr>
        <w:t xml:space="preserve"> </w:t>
      </w:r>
      <w:r w:rsidRPr="009B76BD">
        <w:rPr>
          <w:rFonts w:ascii="Titillium" w:hAnsi="Titillium" w:cs="Calibri"/>
          <w:sz w:val="18"/>
          <w:szCs w:val="18"/>
        </w:rPr>
        <w:t xml:space="preserve">Qualora nessuna offerta risulti conveniente o idonea in relazione all’oggetto del contratto, </w:t>
      </w:r>
      <w:r>
        <w:rPr>
          <w:rFonts w:ascii="Titillium" w:hAnsi="Titillium" w:cs="Calibri"/>
          <w:sz w:val="18"/>
          <w:szCs w:val="18"/>
        </w:rPr>
        <w:t>la stazione appaltante può decidere, entro</w:t>
      </w:r>
      <w:r w:rsidRPr="00C3158B">
        <w:rPr>
          <w:rFonts w:ascii="Titillium" w:hAnsi="Titillium" w:cs="Calibri"/>
          <w:sz w:val="18"/>
          <w:szCs w:val="18"/>
        </w:rPr>
        <w:t xml:space="preserve"> 30 giorni dalla conclusione delle valutazioni delle offerte</w:t>
      </w:r>
      <w:r>
        <w:rPr>
          <w:rFonts w:ascii="Titillium" w:hAnsi="Titillium" w:cs="Calibri"/>
          <w:sz w:val="18"/>
          <w:szCs w:val="18"/>
        </w:rPr>
        <w:t>, di non procedere all’aggiudicazione</w:t>
      </w:r>
      <w:r w:rsidRPr="00C3158B">
        <w:rPr>
          <w:rFonts w:ascii="Titillium" w:hAnsi="Titillium" w:cs="Calibri"/>
          <w:sz w:val="18"/>
          <w:szCs w:val="18"/>
        </w:rPr>
        <w:t>.</w:t>
      </w:r>
    </w:p>
    <w:p w14:paraId="1D499379" w14:textId="77777777" w:rsidR="00276DF7" w:rsidRPr="00254D96" w:rsidRDefault="00276DF7" w:rsidP="00276DF7">
      <w:pPr>
        <w:shd w:val="clear" w:color="auto" w:fill="F2F2F2" w:themeFill="background1" w:themeFillShade="F2"/>
        <w:spacing w:before="60" w:after="60"/>
      </w:pPr>
      <w:r w:rsidRPr="009B76BD">
        <w:rPr>
          <w:rFonts w:ascii="Titillium" w:hAnsi="Titillium" w:cs="Calibri"/>
          <w:b/>
          <w:i/>
          <w:sz w:val="18"/>
          <w:szCs w:val="18"/>
        </w:rPr>
        <w:t xml:space="preserve">[Facoltativo] </w:t>
      </w:r>
      <w:r w:rsidRPr="00254D96">
        <w:rPr>
          <w:rFonts w:ascii="Titillium" w:hAnsi="Titillium" w:cs="Calibri"/>
          <w:sz w:val="18"/>
          <w:szCs w:val="18"/>
        </w:rPr>
        <w:t xml:space="preserve">Non si procede all’aggiudicazione dell’appalto all’offerente che ha presentato l’offerta economicamente più vantaggiosa qualora venga accertato che tale offerta non soddisfa gli obblighi in materia ambientale, sociale e del lavoro stabiliti dalla normativa europea e nazionale, dai contratti collettivi o dalle disposizioni internazionali elencate </w:t>
      </w:r>
      <w:r w:rsidRPr="00300C9D">
        <w:rPr>
          <w:rFonts w:ascii="Titillium" w:hAnsi="Titillium" w:cs="Calibri"/>
          <w:sz w:val="18"/>
          <w:szCs w:val="18"/>
        </w:rPr>
        <w:t xml:space="preserve">nell’allegato X </w:t>
      </w:r>
      <w:r>
        <w:rPr>
          <w:rFonts w:ascii="Titillium" w:hAnsi="Titillium" w:cs="Calibri"/>
          <w:sz w:val="18"/>
          <w:szCs w:val="18"/>
        </w:rPr>
        <w:t>della direttiva 2014/24/UE</w:t>
      </w:r>
      <w:r w:rsidRPr="00300C9D">
        <w:rPr>
          <w:rFonts w:ascii="Titillium" w:hAnsi="Titillium" w:cs="Calibri"/>
          <w:sz w:val="18"/>
          <w:szCs w:val="18"/>
        </w:rPr>
        <w:t>.</w:t>
      </w:r>
    </w:p>
    <w:p w14:paraId="2AAB57EF"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FE7AB7">
        <w:rPr>
          <w:rFonts w:ascii="Titillium" w:hAnsi="Titillium" w:cs="Calibri"/>
          <w:b/>
          <w:bCs/>
          <w:i/>
          <w:sz w:val="18"/>
          <w:szCs w:val="18"/>
        </w:rPr>
        <w:t>[</w:t>
      </w:r>
      <w:bookmarkStart w:id="3110" w:name="_Hlk129798474"/>
      <w:r>
        <w:rPr>
          <w:rFonts w:ascii="Titillium" w:hAnsi="Titillium" w:cs="Calibri"/>
          <w:b/>
          <w:bCs/>
          <w:i/>
          <w:sz w:val="18"/>
          <w:szCs w:val="18"/>
        </w:rPr>
        <w:t>L</w:t>
      </w:r>
      <w:r w:rsidRPr="00FE7AB7">
        <w:rPr>
          <w:rFonts w:ascii="Titillium" w:hAnsi="Titillium" w:cs="Calibri"/>
          <w:b/>
          <w:bCs/>
          <w:i/>
          <w:sz w:val="18"/>
          <w:szCs w:val="18"/>
        </w:rPr>
        <w:t>a clausola non va inserita in caso di forniture senza posa in opera e servizi di natura intellettuale</w:t>
      </w:r>
      <w:bookmarkEnd w:id="3110"/>
      <w:r w:rsidRPr="00FE7AB7">
        <w:rPr>
          <w:rFonts w:ascii="Titillium" w:hAnsi="Titillium" w:cs="Calibri"/>
          <w:b/>
          <w:bCs/>
          <w:i/>
          <w:sz w:val="18"/>
          <w:szCs w:val="18"/>
        </w:rPr>
        <w:t>]</w:t>
      </w:r>
      <w:r w:rsidRPr="00FE7AB7">
        <w:rPr>
          <w:rFonts w:ascii="Titillium" w:hAnsi="Titillium" w:cs="Calibri"/>
          <w:i/>
          <w:sz w:val="18"/>
          <w:szCs w:val="18"/>
        </w:rPr>
        <w:t xml:space="preserve"> </w:t>
      </w:r>
      <w:r w:rsidRPr="006E08DB">
        <w:rPr>
          <w:rFonts w:ascii="Titillium" w:hAnsi="Titillium" w:cs="Calibri"/>
          <w:sz w:val="18"/>
          <w:szCs w:val="18"/>
        </w:rPr>
        <w:t>Il RUP procede, laddove non effettuata in sede di verifica di congruità dell’offerta, a verificare</w:t>
      </w:r>
      <w:r>
        <w:rPr>
          <w:rFonts w:ascii="Titillium" w:hAnsi="Titillium" w:cs="Calibri"/>
          <w:sz w:val="18"/>
          <w:szCs w:val="18"/>
        </w:rPr>
        <w:t>:</w:t>
      </w:r>
    </w:p>
    <w:p w14:paraId="0A593089" w14:textId="0CCC7EB6" w:rsidR="00276DF7" w:rsidRPr="004300F2" w:rsidRDefault="00276DF7" w:rsidP="00276DF7">
      <w:pPr>
        <w:pStyle w:val="Paragrafoelenco"/>
        <w:numPr>
          <w:ilvl w:val="0"/>
          <w:numId w:val="81"/>
        </w:numPr>
        <w:shd w:val="clear" w:color="auto" w:fill="F2F2F2" w:themeFill="background1" w:themeFillShade="F2"/>
        <w:spacing w:before="60" w:after="60"/>
        <w:rPr>
          <w:rFonts w:ascii="Titillium" w:hAnsi="Titillium" w:cs="Calibri"/>
          <w:sz w:val="18"/>
          <w:szCs w:val="18"/>
        </w:rPr>
      </w:pPr>
      <w:r w:rsidRPr="004300F2">
        <w:rPr>
          <w:rFonts w:ascii="Titillium" w:hAnsi="Titillium" w:cs="Calibri"/>
          <w:sz w:val="18"/>
          <w:szCs w:val="18"/>
        </w:rPr>
        <w:t xml:space="preserve">l’equivalenza delle tutele nel caso in cui l’aggiudicatario abbia dichiarato di applicare un diverso contratto collettivo nazionale </w:t>
      </w:r>
      <w:r>
        <w:rPr>
          <w:rFonts w:ascii="Titillium" w:hAnsi="Titillium" w:cs="Calibri"/>
          <w:sz w:val="18"/>
          <w:szCs w:val="18"/>
        </w:rPr>
        <w:t xml:space="preserve">diverso </w:t>
      </w:r>
      <w:r w:rsidRPr="004300F2">
        <w:rPr>
          <w:rFonts w:ascii="Titillium" w:hAnsi="Titillium" w:cs="Calibri"/>
          <w:sz w:val="18"/>
          <w:szCs w:val="18"/>
        </w:rPr>
        <w:t>rispetto a quello indicato dalla stazione appaltante</w:t>
      </w:r>
      <w:r>
        <w:rPr>
          <w:rFonts w:ascii="Titillium" w:hAnsi="Titillium" w:cs="Calibri"/>
          <w:sz w:val="18"/>
          <w:szCs w:val="18"/>
        </w:rPr>
        <w:t xml:space="preserve"> e il rispetto di quanto indicato nella c</w:t>
      </w:r>
      <w:r w:rsidRPr="000E65AD">
        <w:rPr>
          <w:rFonts w:ascii="Titillium" w:hAnsi="Titillium" w:cs="Calibri"/>
          <w:sz w:val="18"/>
          <w:szCs w:val="18"/>
        </w:rPr>
        <w:t>lausola sociale per l’applicazione dei contratti collettivi nazionali e territoriali</w:t>
      </w:r>
      <w:r>
        <w:rPr>
          <w:rFonts w:ascii="Titillium" w:hAnsi="Titillium" w:cs="Calibri"/>
          <w:sz w:val="18"/>
          <w:szCs w:val="18"/>
        </w:rPr>
        <w:t xml:space="preserve"> di cui al punto </w:t>
      </w:r>
      <w:r>
        <w:rPr>
          <w:rFonts w:ascii="Titillium" w:hAnsi="Titillium" w:cs="Calibri"/>
          <w:sz w:val="18"/>
          <w:szCs w:val="18"/>
        </w:rPr>
        <w:fldChar w:fldCharType="begin"/>
      </w:r>
      <w:r>
        <w:rPr>
          <w:rFonts w:ascii="Titillium" w:hAnsi="Titillium" w:cs="Calibri"/>
          <w:sz w:val="18"/>
          <w:szCs w:val="18"/>
        </w:rPr>
        <w:instrText xml:space="preserve"> REF _Ref132050689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9</w:t>
      </w:r>
      <w:r>
        <w:rPr>
          <w:rFonts w:ascii="Titillium" w:hAnsi="Titillium" w:cs="Calibri"/>
          <w:sz w:val="18"/>
          <w:szCs w:val="18"/>
        </w:rPr>
        <w:fldChar w:fldCharType="end"/>
      </w:r>
      <w:r>
        <w:rPr>
          <w:rFonts w:ascii="Titillium" w:hAnsi="Titillium" w:cs="Calibri"/>
          <w:sz w:val="18"/>
          <w:szCs w:val="18"/>
        </w:rPr>
        <w:t xml:space="preserve"> </w:t>
      </w:r>
      <w:r w:rsidRPr="004300F2">
        <w:rPr>
          <w:rFonts w:ascii="Titillium" w:hAnsi="Titillium" w:cs="Calibri"/>
          <w:sz w:val="18"/>
          <w:szCs w:val="18"/>
        </w:rPr>
        <w:t>;</w:t>
      </w:r>
    </w:p>
    <w:p w14:paraId="1AA7C0E7" w14:textId="1C25B9E7" w:rsidR="00276DF7" w:rsidRPr="00F53D3E" w:rsidRDefault="00276DF7" w:rsidP="00276DF7">
      <w:pPr>
        <w:pStyle w:val="Paragrafoelenco"/>
        <w:numPr>
          <w:ilvl w:val="0"/>
          <w:numId w:val="81"/>
        </w:numPr>
        <w:shd w:val="clear" w:color="auto" w:fill="F2F2F2" w:themeFill="background1" w:themeFillShade="F2"/>
        <w:spacing w:before="60" w:after="60"/>
      </w:pPr>
      <w:r w:rsidRPr="004300F2">
        <w:rPr>
          <w:rFonts w:ascii="Titillium" w:hAnsi="Titillium" w:cs="Calibri"/>
          <w:sz w:val="18"/>
          <w:szCs w:val="18"/>
        </w:rPr>
        <w:t xml:space="preserve">l’attendibilità degli impegni assunti dall’appaltatore in relazione a quanto richiesto </w:t>
      </w:r>
      <w:r>
        <w:rPr>
          <w:rFonts w:ascii="Titillium" w:hAnsi="Titillium" w:cs="Calibri"/>
          <w:sz w:val="18"/>
          <w:szCs w:val="18"/>
        </w:rPr>
        <w:t>dal punto</w:t>
      </w:r>
      <w:r w:rsidRPr="004300F2">
        <w:rPr>
          <w:rFonts w:ascii="Titillium" w:hAnsi="Titillium" w:cs="Calibri"/>
          <w:sz w:val="18"/>
          <w:szCs w:val="18"/>
        </w:rPr>
        <w:t xml:space="preserve"> </w:t>
      </w:r>
      <w:r>
        <w:rPr>
          <w:rFonts w:ascii="Titillium" w:hAnsi="Titillium" w:cs="Calibri"/>
          <w:sz w:val="18"/>
          <w:szCs w:val="18"/>
        </w:rPr>
        <w:fldChar w:fldCharType="begin"/>
      </w:r>
      <w:r>
        <w:rPr>
          <w:rFonts w:ascii="Titillium" w:hAnsi="Titillium" w:cs="Calibri"/>
          <w:sz w:val="18"/>
          <w:szCs w:val="18"/>
        </w:rPr>
        <w:instrText xml:space="preserve"> REF _Ref132050689 \r \h </w:instrText>
      </w:r>
      <w:r>
        <w:rPr>
          <w:rFonts w:ascii="Titillium" w:hAnsi="Titillium" w:cs="Calibri"/>
          <w:sz w:val="18"/>
          <w:szCs w:val="18"/>
        </w:rPr>
      </w:r>
      <w:r>
        <w:rPr>
          <w:rFonts w:ascii="Titillium" w:hAnsi="Titillium" w:cs="Calibri"/>
          <w:sz w:val="18"/>
          <w:szCs w:val="18"/>
        </w:rPr>
        <w:instrText xml:space="preserve"> \* MERGEFORMAT </w:instrText>
      </w:r>
      <w:r>
        <w:rPr>
          <w:rFonts w:ascii="Titillium" w:hAnsi="Titillium" w:cs="Calibri"/>
          <w:sz w:val="18"/>
          <w:szCs w:val="18"/>
        </w:rPr>
        <w:fldChar w:fldCharType="separate"/>
      </w:r>
      <w:r>
        <w:rPr>
          <w:rFonts w:ascii="Titillium" w:hAnsi="Titillium" w:cs="Calibri"/>
          <w:sz w:val="18"/>
          <w:szCs w:val="18"/>
        </w:rPr>
        <w:t>9</w:t>
      </w:r>
      <w:r>
        <w:rPr>
          <w:rFonts w:ascii="Titillium" w:hAnsi="Titillium" w:cs="Calibri"/>
          <w:sz w:val="18"/>
          <w:szCs w:val="18"/>
        </w:rPr>
        <w:fldChar w:fldCharType="end"/>
      </w:r>
      <w:r w:rsidRPr="004300F2">
        <w:rPr>
          <w:rFonts w:ascii="Titillium" w:hAnsi="Titillium" w:cs="Calibri"/>
          <w:sz w:val="18"/>
          <w:szCs w:val="18"/>
        </w:rPr>
        <w:t xml:space="preserve"> </w:t>
      </w:r>
      <w:r>
        <w:rPr>
          <w:rFonts w:ascii="Titillium" w:hAnsi="Titillium" w:cs="Calibri"/>
          <w:sz w:val="18"/>
          <w:szCs w:val="18"/>
        </w:rPr>
        <w:t xml:space="preserve">e riguardante la </w:t>
      </w:r>
      <w:r w:rsidRPr="004300F2">
        <w:rPr>
          <w:rFonts w:ascii="Titillium" w:hAnsi="Titillium" w:cs="Calibri"/>
          <w:sz w:val="18"/>
          <w:szCs w:val="18"/>
        </w:rPr>
        <w:t>stabilità occupazionale</w:t>
      </w:r>
      <w:r>
        <w:rPr>
          <w:rFonts w:ascii="Titillium" w:hAnsi="Titillium" w:cs="Calibri"/>
          <w:sz w:val="18"/>
          <w:szCs w:val="18"/>
        </w:rPr>
        <w:t xml:space="preserve"> e</w:t>
      </w:r>
      <w:r w:rsidRPr="004300F2">
        <w:rPr>
          <w:rFonts w:ascii="Titillium" w:hAnsi="Titillium" w:cs="Calibri"/>
          <w:sz w:val="18"/>
          <w:szCs w:val="18"/>
        </w:rPr>
        <w:t xml:space="preserve"> le pari opportunità generazionali, di genere e di inclusione lavorativa per le persone con disabilità o svantaggiate</w:t>
      </w:r>
      <w:r>
        <w:rPr>
          <w:rFonts w:ascii="Titillium" w:hAnsi="Titillium" w:cs="Calibri"/>
          <w:sz w:val="18"/>
          <w:szCs w:val="18"/>
        </w:rPr>
        <w:t>.</w:t>
      </w:r>
    </w:p>
    <w:p w14:paraId="30A01C2F" w14:textId="77777777" w:rsidR="00276DF7" w:rsidRPr="00F53D3E" w:rsidRDefault="00276DF7" w:rsidP="00276DF7">
      <w:pPr>
        <w:shd w:val="clear" w:color="auto" w:fill="F2F2F2" w:themeFill="background1" w:themeFillShade="F2"/>
        <w:spacing w:before="60" w:after="60"/>
        <w:rPr>
          <w:rFonts w:ascii="Titillium" w:hAnsi="Titillium" w:cs="Calibri"/>
          <w:sz w:val="18"/>
          <w:szCs w:val="18"/>
        </w:rPr>
      </w:pPr>
    </w:p>
    <w:p w14:paraId="09660EBE"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F53D3E">
        <w:rPr>
          <w:rFonts w:ascii="Titillium" w:hAnsi="Titillium" w:cs="Calibri"/>
          <w:sz w:val="18"/>
          <w:szCs w:val="18"/>
        </w:rPr>
        <w:t xml:space="preserve">L’aggiudicazione </w:t>
      </w:r>
      <w:r>
        <w:rPr>
          <w:rFonts w:ascii="Titillium" w:hAnsi="Titillium" w:cs="Calibri"/>
          <w:sz w:val="18"/>
          <w:szCs w:val="18"/>
        </w:rPr>
        <w:t>è disposta</w:t>
      </w:r>
      <w:r w:rsidRPr="00F53D3E">
        <w:rPr>
          <w:rFonts w:ascii="Titillium" w:hAnsi="Titillium" w:cs="Calibri"/>
          <w:sz w:val="18"/>
          <w:szCs w:val="18"/>
        </w:rPr>
        <w:t xml:space="preserve"> all’esito positivo della verifica del possesso dei requisiti prescritti dal presente disciplinare</w:t>
      </w:r>
      <w:r>
        <w:rPr>
          <w:rFonts w:ascii="Titillium" w:hAnsi="Titillium" w:cs="Calibri"/>
          <w:sz w:val="18"/>
          <w:szCs w:val="18"/>
        </w:rPr>
        <w:t xml:space="preserve"> ed è immediatamente efficace</w:t>
      </w:r>
      <w:r w:rsidRPr="00F53D3E">
        <w:rPr>
          <w:rFonts w:ascii="Titillium" w:hAnsi="Titillium" w:cs="Calibri"/>
          <w:sz w:val="18"/>
          <w:szCs w:val="18"/>
        </w:rPr>
        <w:t>.</w:t>
      </w:r>
      <w:r>
        <w:rPr>
          <w:rFonts w:ascii="Titillium" w:hAnsi="Titillium" w:cs="Calibri"/>
          <w:sz w:val="18"/>
          <w:szCs w:val="18"/>
        </w:rPr>
        <w:t xml:space="preserve"> </w:t>
      </w:r>
      <w:r w:rsidRPr="00F53D3E">
        <w:rPr>
          <w:rFonts w:ascii="Titillium" w:hAnsi="Titillium" w:cs="Calibri"/>
          <w:sz w:val="18"/>
          <w:szCs w:val="18"/>
        </w:rPr>
        <w:t>In caso di esito negativo delle verifiche, si procede</w:t>
      </w:r>
      <w:r>
        <w:rPr>
          <w:rFonts w:ascii="Titillium" w:hAnsi="Titillium" w:cs="Calibri"/>
          <w:sz w:val="18"/>
          <w:szCs w:val="18"/>
        </w:rPr>
        <w:t xml:space="preserve"> all’esclusione</w:t>
      </w:r>
      <w:r w:rsidRPr="004300F2">
        <w:rPr>
          <w:rFonts w:ascii="Titillium" w:hAnsi="Titillium" w:cs="Calibri"/>
          <w:sz w:val="18"/>
          <w:szCs w:val="18"/>
        </w:rPr>
        <w:t>, alla segnalazione all’ANAC, ad</w:t>
      </w:r>
      <w:r>
        <w:rPr>
          <w:rFonts w:ascii="Titillium" w:hAnsi="Titillium" w:cs="Calibri"/>
          <w:sz w:val="18"/>
          <w:szCs w:val="18"/>
        </w:rPr>
        <w:t xml:space="preserve"> incamerare la garanzia provvisoria.</w:t>
      </w:r>
    </w:p>
    <w:p w14:paraId="2B50566F" w14:textId="77777777" w:rsidR="00276DF7" w:rsidRPr="00F53D3E"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Successivamente si procede a ricalcolare i punteggi e a riformulare la graduatoria </w:t>
      </w:r>
      <w:r w:rsidRPr="00F53D3E">
        <w:rPr>
          <w:rFonts w:ascii="Titillium" w:hAnsi="Titillium" w:cs="Calibri"/>
          <w:sz w:val="18"/>
          <w:szCs w:val="18"/>
        </w:rPr>
        <w:t>procedendo altresì, alle verifiche nei termini sopra indicati.</w:t>
      </w:r>
      <w:r>
        <w:rPr>
          <w:rFonts w:ascii="Titillium" w:hAnsi="Titillium" w:cs="Calibri"/>
          <w:sz w:val="18"/>
          <w:szCs w:val="18"/>
        </w:rPr>
        <w:t xml:space="preserve"> </w:t>
      </w:r>
      <w:r w:rsidRPr="00F53D3E">
        <w:rPr>
          <w:rFonts w:ascii="Titillium" w:hAnsi="Titillium" w:cs="Calibri"/>
          <w:sz w:val="18"/>
          <w:szCs w:val="18"/>
        </w:rPr>
        <w:t xml:space="preserve">Nell’ipotesi </w:t>
      </w:r>
      <w:r>
        <w:rPr>
          <w:rFonts w:ascii="Titillium" w:hAnsi="Titillium" w:cs="Calibri"/>
          <w:sz w:val="18"/>
          <w:szCs w:val="18"/>
        </w:rPr>
        <w:t>di ulteriore esito negativo delle verifiche</w:t>
      </w:r>
      <w:r w:rsidRPr="00F53D3E">
        <w:rPr>
          <w:rFonts w:ascii="Titillium" w:hAnsi="Titillium" w:cs="Calibri"/>
          <w:sz w:val="18"/>
          <w:szCs w:val="18"/>
        </w:rPr>
        <w:t xml:space="preserve"> </w:t>
      </w:r>
      <w:r>
        <w:rPr>
          <w:rFonts w:ascii="Titillium" w:hAnsi="Titillium" w:cs="Calibri"/>
          <w:sz w:val="18"/>
          <w:szCs w:val="18"/>
        </w:rPr>
        <w:t xml:space="preserve">si procede </w:t>
      </w:r>
      <w:r w:rsidRPr="00F53D3E">
        <w:rPr>
          <w:rFonts w:ascii="Titillium" w:hAnsi="Titillium" w:cs="Calibri"/>
          <w:sz w:val="18"/>
          <w:szCs w:val="18"/>
        </w:rPr>
        <w:t>nei termini sopra detti,</w:t>
      </w:r>
      <w:r>
        <w:rPr>
          <w:rFonts w:ascii="Titillium" w:hAnsi="Titillium" w:cs="Calibri"/>
          <w:sz w:val="18"/>
          <w:szCs w:val="18"/>
        </w:rPr>
        <w:t xml:space="preserve"> </w:t>
      </w:r>
      <w:r w:rsidRPr="00F53D3E">
        <w:rPr>
          <w:rFonts w:ascii="Titillium" w:hAnsi="Titillium" w:cs="Calibri"/>
          <w:sz w:val="18"/>
          <w:szCs w:val="18"/>
        </w:rPr>
        <w:t>scorrendo la graduatoria.</w:t>
      </w:r>
    </w:p>
    <w:p w14:paraId="441097C5" w14:textId="77777777" w:rsidR="00276DF7" w:rsidRPr="00F53D3E" w:rsidRDefault="00276DF7" w:rsidP="00276DF7">
      <w:pPr>
        <w:shd w:val="clear" w:color="auto" w:fill="F2F2F2" w:themeFill="background1" w:themeFillShade="F2"/>
        <w:spacing w:before="60" w:after="60"/>
      </w:pPr>
      <w:r w:rsidRPr="00F53D3E" w:rsidDel="0053260F">
        <w:rPr>
          <w:rFonts w:ascii="Titillium" w:hAnsi="Titillium" w:cs="Calibri"/>
          <w:sz w:val="18"/>
          <w:szCs w:val="18"/>
        </w:rPr>
        <w:t xml:space="preserve">Il contratto è stipulato </w:t>
      </w:r>
      <w:r>
        <w:rPr>
          <w:rFonts w:ascii="Titillium" w:hAnsi="Titillium" w:cs="Calibri"/>
          <w:sz w:val="18"/>
          <w:szCs w:val="18"/>
        </w:rPr>
        <w:t>non prima di</w:t>
      </w:r>
      <w:r w:rsidRPr="00F53D3E" w:rsidDel="0053260F">
        <w:rPr>
          <w:rFonts w:ascii="Titillium" w:hAnsi="Titillium" w:cs="Calibri"/>
          <w:sz w:val="18"/>
          <w:szCs w:val="18"/>
        </w:rPr>
        <w:t xml:space="preserve"> 35 giorni dall’invio dell’ultima delle comunicazioni del provvedimento di aggiudicazione</w:t>
      </w:r>
      <w:r>
        <w:rPr>
          <w:rFonts w:ascii="Titillium" w:hAnsi="Titillium" w:cs="Calibri"/>
          <w:sz w:val="18"/>
          <w:szCs w:val="18"/>
        </w:rPr>
        <w:t xml:space="preserve"> e comunque</w:t>
      </w:r>
      <w:r w:rsidRPr="00F53D3E">
        <w:rPr>
          <w:rFonts w:ascii="Titillium" w:hAnsi="Titillium" w:cs="Calibri"/>
          <w:sz w:val="18"/>
          <w:szCs w:val="18"/>
        </w:rPr>
        <w:t xml:space="preserve"> entro … [</w:t>
      </w:r>
      <w:r w:rsidRPr="00F53D3E">
        <w:rPr>
          <w:rFonts w:ascii="Titillium" w:hAnsi="Titillium" w:cs="Calibri"/>
          <w:i/>
          <w:sz w:val="18"/>
          <w:szCs w:val="18"/>
        </w:rPr>
        <w:t>di norma 60 giorni, la stazione appaltante può stabilire un termine diverso</w:t>
      </w:r>
      <w:r w:rsidRPr="00F53D3E">
        <w:rPr>
          <w:rFonts w:ascii="Titillium" w:hAnsi="Titillium" w:cs="Calibri"/>
          <w:sz w:val="18"/>
          <w:szCs w:val="18"/>
        </w:rPr>
        <w:t>] giorni dall’aggiudicazione</w:t>
      </w:r>
      <w:r>
        <w:rPr>
          <w:rFonts w:ascii="Titillium" w:hAnsi="Titillium" w:cs="Calibri"/>
          <w:sz w:val="18"/>
          <w:szCs w:val="18"/>
        </w:rPr>
        <w:t xml:space="preserve">, salvo quanto previsto dall’articolo 18 comma 2 del Codice. </w:t>
      </w:r>
    </w:p>
    <w:p w14:paraId="4B9B4A4A"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F53D3E">
        <w:rPr>
          <w:rFonts w:ascii="Titillium" w:hAnsi="Titillium" w:cs="Calibri"/>
          <w:sz w:val="18"/>
          <w:szCs w:val="18"/>
        </w:rPr>
        <w:lastRenderedPageBreak/>
        <w:t>[</w:t>
      </w:r>
      <w:r w:rsidRPr="00F53D3E">
        <w:rPr>
          <w:rFonts w:ascii="Titillium" w:hAnsi="Titillium" w:cs="Calibri"/>
          <w:b/>
          <w:i/>
          <w:sz w:val="18"/>
          <w:szCs w:val="18"/>
        </w:rPr>
        <w:t>Facoltativo</w:t>
      </w:r>
      <w:r w:rsidRPr="00F53D3E">
        <w:rPr>
          <w:rFonts w:ascii="Titillium" w:hAnsi="Titillium" w:cs="Calibri"/>
          <w:sz w:val="18"/>
          <w:szCs w:val="18"/>
        </w:rPr>
        <w:t>] A seguito di richiesta motivata proveniente dall’aggiudicatario la data di stipula del contratto può essere differita purché ritenuta compatibile con la sollecita esecuzione del contratto stesso.</w:t>
      </w:r>
    </w:p>
    <w:p w14:paraId="1F7DDE0A" w14:textId="77777777" w:rsidR="00276DF7" w:rsidRPr="00F53D3E" w:rsidRDefault="00276DF7" w:rsidP="00276DF7">
      <w:pPr>
        <w:shd w:val="clear" w:color="auto" w:fill="F2F2F2" w:themeFill="background1" w:themeFillShade="F2"/>
        <w:spacing w:before="60" w:after="60"/>
        <w:rPr>
          <w:rFonts w:ascii="Titillium" w:hAnsi="Titillium" w:cs="Calibri"/>
          <w:sz w:val="18"/>
          <w:szCs w:val="18"/>
        </w:rPr>
      </w:pPr>
      <w:r w:rsidRPr="00F53D3E">
        <w:rPr>
          <w:rFonts w:ascii="Titillium" w:hAnsi="Titillium" w:cs="Calibri"/>
          <w:sz w:val="18"/>
          <w:szCs w:val="18"/>
        </w:rPr>
        <w:t xml:space="preserve">La garanzia provvisoria </w:t>
      </w:r>
      <w:r>
        <w:rPr>
          <w:rFonts w:ascii="Titillium" w:hAnsi="Titillium" w:cs="Calibri"/>
          <w:sz w:val="18"/>
          <w:szCs w:val="18"/>
        </w:rPr>
        <w:t xml:space="preserve">dell’aggiudicatario </w:t>
      </w:r>
      <w:r w:rsidRPr="00F53D3E">
        <w:rPr>
          <w:rFonts w:ascii="Titillium" w:hAnsi="Titillium" w:cs="Calibri"/>
          <w:sz w:val="18"/>
          <w:szCs w:val="18"/>
        </w:rPr>
        <w:t>è svincolata</w:t>
      </w:r>
      <w:r>
        <w:rPr>
          <w:rFonts w:ascii="Titillium" w:hAnsi="Titillium" w:cs="Calibri"/>
          <w:sz w:val="18"/>
          <w:szCs w:val="18"/>
        </w:rPr>
        <w:t xml:space="preserve"> </w:t>
      </w:r>
      <w:r w:rsidRPr="00F53D3E">
        <w:rPr>
          <w:rFonts w:ascii="Titillium" w:hAnsi="Titillium" w:cs="Calibri"/>
          <w:sz w:val="18"/>
          <w:szCs w:val="18"/>
        </w:rPr>
        <w:t xml:space="preserve">automaticamente al momento della stipula del contratto; </w:t>
      </w:r>
      <w:r>
        <w:rPr>
          <w:rFonts w:ascii="Titillium" w:hAnsi="Titillium" w:cs="Calibri"/>
          <w:sz w:val="18"/>
          <w:szCs w:val="18"/>
        </w:rPr>
        <w:t xml:space="preserve">la garanzia provvisoria degli </w:t>
      </w:r>
      <w:r w:rsidRPr="00F53D3E">
        <w:rPr>
          <w:rFonts w:ascii="Titillium" w:hAnsi="Titillium" w:cs="Calibri"/>
          <w:sz w:val="18"/>
          <w:szCs w:val="18"/>
        </w:rPr>
        <w:t>altri concorrenti è svincolata</w:t>
      </w:r>
      <w:r>
        <w:rPr>
          <w:rFonts w:ascii="Titillium" w:hAnsi="Titillium" w:cs="Calibri"/>
          <w:sz w:val="18"/>
          <w:szCs w:val="18"/>
        </w:rPr>
        <w:t xml:space="preserve"> con il provvedimento di aggiudicazione e perde, in ogni caso, efficacia entro 30 giorni dall’aggiudicazione</w:t>
      </w:r>
      <w:r w:rsidRPr="00F53D3E">
        <w:rPr>
          <w:rFonts w:ascii="Titillium" w:hAnsi="Titillium" w:cs="Calibri"/>
          <w:sz w:val="18"/>
          <w:szCs w:val="18"/>
        </w:rPr>
        <w:t>.</w:t>
      </w:r>
    </w:p>
    <w:p w14:paraId="3ABBE15A"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F53D3E">
        <w:rPr>
          <w:rFonts w:ascii="Titillium" w:hAnsi="Titillium" w:cs="Calibri"/>
          <w:sz w:val="18"/>
          <w:szCs w:val="18"/>
        </w:rPr>
        <w:t xml:space="preserve">All’atto della stipulazione del contratto, l’aggiudicatario deve presentare la garanzia definitiva da calcolare sull’importo contrattuale, secondo le misure e le modalità previste </w:t>
      </w:r>
      <w:r w:rsidRPr="004300F2">
        <w:rPr>
          <w:rFonts w:ascii="Titillium" w:hAnsi="Titillium" w:cs="Calibri"/>
          <w:sz w:val="18"/>
          <w:szCs w:val="18"/>
        </w:rPr>
        <w:t>dall’articolo 117 del Codice.</w:t>
      </w:r>
    </w:p>
    <w:p w14:paraId="54C10A9E" w14:textId="77777777" w:rsidR="00276DF7" w:rsidRPr="00851FDE" w:rsidRDefault="00276DF7" w:rsidP="00276D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Titillium" w:hAnsi="Titillium" w:cs="Calibri"/>
          <w:i/>
          <w:sz w:val="18"/>
          <w:szCs w:val="18"/>
        </w:rPr>
      </w:pPr>
      <w:r w:rsidRPr="00851FDE">
        <w:rPr>
          <w:rFonts w:ascii="Titillium" w:hAnsi="Titillium" w:cs="Calibri"/>
          <w:i/>
          <w:sz w:val="18"/>
          <w:szCs w:val="18"/>
        </w:rPr>
        <w:t>N.B.  Ai sensi dell’articolo 117, comma 14, del Codice, qualora l’appalto debba essere eseguito da operatori economici di comprovata solidità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14:paraId="0CC12FD6" w14:textId="77777777" w:rsidR="00276DF7" w:rsidRPr="00F53D3E" w:rsidRDefault="00276DF7" w:rsidP="00276DF7">
      <w:pPr>
        <w:shd w:val="clear" w:color="auto" w:fill="F2F2F2" w:themeFill="background1" w:themeFillShade="F2"/>
        <w:spacing w:before="60" w:after="60"/>
        <w:rPr>
          <w:rFonts w:ascii="Titillium" w:hAnsi="Titillium" w:cs="Calibri"/>
          <w:sz w:val="18"/>
          <w:szCs w:val="18"/>
        </w:rPr>
      </w:pPr>
    </w:p>
    <w:p w14:paraId="6A54CF73"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F65B5E">
        <w:rPr>
          <w:rFonts w:ascii="Titillium" w:hAnsi="Titillium" w:cs="Calibri"/>
          <w:sz w:val="18"/>
          <w:szCs w:val="18"/>
        </w:rPr>
        <w:t>Se la stipula del contratto non avviene nel termine per fatto della stazione appaltante,</w:t>
      </w:r>
      <w:r>
        <w:rPr>
          <w:rFonts w:ascii="Titillium" w:hAnsi="Titillium" w:cs="Calibri"/>
          <w:sz w:val="18"/>
          <w:szCs w:val="18"/>
        </w:rPr>
        <w:t xml:space="preserve"> </w:t>
      </w:r>
      <w:r w:rsidRPr="00F65B5E">
        <w:rPr>
          <w:rFonts w:ascii="Titillium" w:hAnsi="Titillium" w:cs="Calibri"/>
          <w:sz w:val="18"/>
          <w:szCs w:val="18"/>
        </w:rPr>
        <w:t>l’aggiudicatario può farne constatare il silenzio inadempimento o, in alternativa, può sciogliersi da ogni vincolo</w:t>
      </w:r>
      <w:r>
        <w:rPr>
          <w:rFonts w:ascii="Titillium" w:hAnsi="Titillium" w:cs="Calibri"/>
          <w:sz w:val="18"/>
          <w:szCs w:val="18"/>
        </w:rPr>
        <w:t xml:space="preserve"> </w:t>
      </w:r>
      <w:r w:rsidRPr="00F65B5E">
        <w:rPr>
          <w:rFonts w:ascii="Titillium" w:hAnsi="Titillium" w:cs="Calibri"/>
          <w:sz w:val="18"/>
          <w:szCs w:val="18"/>
        </w:rPr>
        <w:t>mediante atto notificato. All’aggiudicatario non spetta alcun indennizzo, salvo il rimborso delle spese</w:t>
      </w:r>
      <w:r>
        <w:rPr>
          <w:rFonts w:ascii="Titillium" w:hAnsi="Titillium" w:cs="Calibri"/>
          <w:sz w:val="18"/>
          <w:szCs w:val="18"/>
        </w:rPr>
        <w:t xml:space="preserve"> </w:t>
      </w:r>
      <w:r w:rsidRPr="00F65B5E">
        <w:rPr>
          <w:rFonts w:ascii="Titillium" w:hAnsi="Titillium" w:cs="Calibri"/>
          <w:sz w:val="18"/>
          <w:szCs w:val="18"/>
        </w:rPr>
        <w:t>contrattuali.</w:t>
      </w:r>
      <w:r>
        <w:rPr>
          <w:rFonts w:ascii="Titillium" w:hAnsi="Titillium" w:cs="Calibri"/>
          <w:sz w:val="18"/>
          <w:szCs w:val="18"/>
        </w:rPr>
        <w:t xml:space="preserve"> </w:t>
      </w:r>
    </w:p>
    <w:p w14:paraId="52A75D25"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F65B5E">
        <w:rPr>
          <w:rFonts w:ascii="Titillium" w:hAnsi="Titillium" w:cs="Calibri"/>
          <w:sz w:val="18"/>
          <w:szCs w:val="18"/>
        </w:rPr>
        <w:t>Se la stipula del contratto non avviene nel termine fissato per fatto dell’aggiudicatario può costituire motivo di</w:t>
      </w:r>
      <w:r>
        <w:rPr>
          <w:rFonts w:ascii="Titillium" w:hAnsi="Titillium" w:cs="Calibri"/>
          <w:sz w:val="18"/>
          <w:szCs w:val="18"/>
        </w:rPr>
        <w:t xml:space="preserve"> </w:t>
      </w:r>
      <w:r w:rsidRPr="00F65B5E">
        <w:rPr>
          <w:rFonts w:ascii="Titillium" w:hAnsi="Titillium" w:cs="Calibri"/>
          <w:sz w:val="18"/>
          <w:szCs w:val="18"/>
        </w:rPr>
        <w:t>revoca dell’aggiudicazione.</w:t>
      </w:r>
      <w:r>
        <w:rPr>
          <w:rFonts w:ascii="Titillium" w:hAnsi="Titillium" w:cs="Calibri"/>
          <w:sz w:val="18"/>
          <w:szCs w:val="18"/>
        </w:rPr>
        <w:t xml:space="preserve"> </w:t>
      </w:r>
    </w:p>
    <w:p w14:paraId="79AD43A2" w14:textId="77777777" w:rsidR="00276DF7" w:rsidRPr="00F65B5E" w:rsidRDefault="00276DF7" w:rsidP="00276DF7">
      <w:pPr>
        <w:shd w:val="clear" w:color="auto" w:fill="F2F2F2" w:themeFill="background1" w:themeFillShade="F2"/>
        <w:spacing w:before="60" w:after="60"/>
        <w:rPr>
          <w:rFonts w:ascii="Titillium" w:hAnsi="Titillium" w:cs="Calibri"/>
          <w:sz w:val="18"/>
          <w:szCs w:val="18"/>
        </w:rPr>
      </w:pPr>
      <w:r w:rsidRPr="00F65B5E">
        <w:rPr>
          <w:rFonts w:ascii="Titillium" w:hAnsi="Titillium" w:cs="Calibri"/>
          <w:sz w:val="18"/>
          <w:szCs w:val="18"/>
        </w:rPr>
        <w:t xml:space="preserve">La mancata o tardiva stipula del contratto al di fuori delle ipotesi </w:t>
      </w:r>
      <w:r>
        <w:rPr>
          <w:rFonts w:ascii="Titillium" w:hAnsi="Titillium" w:cs="Calibri"/>
          <w:sz w:val="18"/>
          <w:szCs w:val="18"/>
        </w:rPr>
        <w:t>predette,</w:t>
      </w:r>
      <w:r w:rsidRPr="00F65B5E">
        <w:rPr>
          <w:rFonts w:ascii="Titillium" w:hAnsi="Titillium" w:cs="Calibri"/>
          <w:sz w:val="18"/>
          <w:szCs w:val="18"/>
        </w:rPr>
        <w:t xml:space="preserve"> costituisce violazione</w:t>
      </w:r>
      <w:r>
        <w:rPr>
          <w:rFonts w:ascii="Titillium" w:hAnsi="Titillium" w:cs="Calibri"/>
          <w:sz w:val="18"/>
          <w:szCs w:val="18"/>
        </w:rPr>
        <w:t xml:space="preserve"> </w:t>
      </w:r>
      <w:r w:rsidRPr="00F65B5E">
        <w:rPr>
          <w:rFonts w:ascii="Titillium" w:hAnsi="Titillium" w:cs="Calibri"/>
          <w:sz w:val="18"/>
          <w:szCs w:val="18"/>
        </w:rPr>
        <w:t>del dovere di buona fede, anche in pendenza di contenzioso.</w:t>
      </w:r>
    </w:p>
    <w:p w14:paraId="07088CF9" w14:textId="77777777" w:rsidR="00276DF7" w:rsidRDefault="00276DF7" w:rsidP="00276DF7">
      <w:pPr>
        <w:shd w:val="clear" w:color="auto" w:fill="F2F2F2" w:themeFill="background1" w:themeFillShade="F2"/>
        <w:spacing w:before="60" w:after="60"/>
        <w:rPr>
          <w:rFonts w:ascii="Titillium" w:hAnsi="Titillium" w:cs="Calibri"/>
          <w:sz w:val="18"/>
          <w:szCs w:val="18"/>
        </w:rPr>
      </w:pPr>
      <w:r w:rsidRPr="00F65B5E">
        <w:rPr>
          <w:rFonts w:ascii="Titillium" w:hAnsi="Titillium" w:cs="Calibri"/>
          <w:b/>
          <w:bCs/>
          <w:i/>
          <w:iCs/>
          <w:sz w:val="18"/>
          <w:szCs w:val="18"/>
        </w:rPr>
        <w:t>[Nel caso in cui sia prevista l’approvazione del contratto]</w:t>
      </w:r>
      <w:r>
        <w:rPr>
          <w:rFonts w:ascii="Titillium" w:hAnsi="Titillium" w:cs="Calibri"/>
          <w:sz w:val="18"/>
          <w:szCs w:val="18"/>
        </w:rPr>
        <w:t xml:space="preserve"> </w:t>
      </w:r>
      <w:r w:rsidRPr="00F65B5E">
        <w:rPr>
          <w:rFonts w:ascii="Titillium" w:hAnsi="Titillium" w:cs="Calibri"/>
          <w:sz w:val="18"/>
          <w:szCs w:val="18"/>
        </w:rPr>
        <w:t>Il contratto è sottoposto alla condizione risolutiva dell’esito negativo della sua approvazione</w:t>
      </w:r>
      <w:r>
        <w:rPr>
          <w:rFonts w:ascii="Titillium" w:hAnsi="Titillium" w:cs="Calibri"/>
          <w:sz w:val="18"/>
          <w:szCs w:val="18"/>
        </w:rPr>
        <w:t xml:space="preserve"> </w:t>
      </w:r>
      <w:r w:rsidRPr="00F65B5E">
        <w:rPr>
          <w:rFonts w:ascii="Titillium" w:hAnsi="Titillium" w:cs="Calibri"/>
          <w:sz w:val="18"/>
          <w:szCs w:val="18"/>
        </w:rPr>
        <w:t xml:space="preserve">da effettuarsi entro trenta giorni dalla stipula. Decorso tale termine, il contratto si intende approvato. </w:t>
      </w:r>
    </w:p>
    <w:p w14:paraId="6E14EE51"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 xml:space="preserve">L’aggiudicatario deposita, prima o contestualmente alla sottoscrizione del contratto di appalto, i contratti continuativi di cooperazione, servizio e/o fornitura di cui all’articolo </w:t>
      </w:r>
      <w:r w:rsidRPr="00F65B5E">
        <w:rPr>
          <w:rFonts w:ascii="Titillium" w:hAnsi="Titillium" w:cs="Calibri"/>
          <w:sz w:val="18"/>
          <w:szCs w:val="18"/>
        </w:rPr>
        <w:t>119</w:t>
      </w:r>
      <w:r>
        <w:rPr>
          <w:rFonts w:ascii="Titillium" w:hAnsi="Titillium" w:cs="Calibri"/>
          <w:sz w:val="18"/>
          <w:szCs w:val="18"/>
        </w:rPr>
        <w:t>,</w:t>
      </w:r>
      <w:r w:rsidRPr="00F65B5E">
        <w:rPr>
          <w:rFonts w:ascii="Titillium" w:hAnsi="Titillium" w:cs="Calibri"/>
          <w:sz w:val="18"/>
          <w:szCs w:val="18"/>
        </w:rPr>
        <w:t xml:space="preserve"> comma 3</w:t>
      </w:r>
      <w:r>
        <w:rPr>
          <w:rFonts w:ascii="Titillium" w:hAnsi="Titillium" w:cs="Calibri"/>
          <w:sz w:val="18"/>
          <w:szCs w:val="18"/>
        </w:rPr>
        <w:t>,</w:t>
      </w:r>
      <w:r w:rsidRPr="00F65B5E">
        <w:rPr>
          <w:rFonts w:ascii="Titillium" w:hAnsi="Titillium" w:cs="Calibri"/>
          <w:sz w:val="18"/>
          <w:szCs w:val="18"/>
        </w:rPr>
        <w:t xml:space="preserve"> lett. d) del Codice.</w:t>
      </w:r>
    </w:p>
    <w:p w14:paraId="34078CAB" w14:textId="77777777" w:rsidR="00276DF7" w:rsidRDefault="00276DF7" w:rsidP="00276DF7">
      <w:pPr>
        <w:shd w:val="clear" w:color="auto" w:fill="F2F2F2" w:themeFill="background1" w:themeFillShade="F2"/>
        <w:spacing w:before="60" w:after="60"/>
        <w:rPr>
          <w:rFonts w:ascii="Titillium" w:hAnsi="Titillium" w:cs="Calibri"/>
          <w:sz w:val="18"/>
          <w:szCs w:val="18"/>
        </w:rPr>
      </w:pPr>
      <w:r>
        <w:rPr>
          <w:rFonts w:ascii="Titillium" w:hAnsi="Titillium" w:cs="Calibri"/>
          <w:sz w:val="18"/>
          <w:szCs w:val="18"/>
        </w:rPr>
        <w:t>L’affidatario comunica, per ogni sub-contratto che non costituisce subappalto, l’importo e l’oggetto del medesimo, nonché il nome del sub-contraente, prima dell’inizio della prestazione.</w:t>
      </w:r>
    </w:p>
    <w:p w14:paraId="20AC3DB0" w14:textId="77777777" w:rsidR="00276DF7" w:rsidRDefault="00276DF7" w:rsidP="00276DF7">
      <w:pPr>
        <w:shd w:val="clear" w:color="auto" w:fill="F2F2F2" w:themeFill="background1" w:themeFillShade="F2"/>
        <w:spacing w:before="60" w:after="60"/>
        <w:rPr>
          <w:rFonts w:ascii="Titillium" w:hAnsi="Titillium" w:cs="Calibri"/>
          <w:i/>
          <w:sz w:val="18"/>
          <w:szCs w:val="18"/>
        </w:rPr>
      </w:pPr>
      <w:r>
        <w:rPr>
          <w:rFonts w:ascii="Titillium" w:hAnsi="Titillium" w:cs="Calibri"/>
          <w:sz w:val="18"/>
          <w:szCs w:val="18"/>
        </w:rPr>
        <w:t xml:space="preserve">Il contratto è stipulato mediante … </w:t>
      </w:r>
      <w:r>
        <w:rPr>
          <w:rFonts w:ascii="Titillium" w:hAnsi="Titillium" w:cs="Calibri"/>
          <w:i/>
          <w:sz w:val="18"/>
          <w:szCs w:val="18"/>
        </w:rPr>
        <w:t>[</w:t>
      </w:r>
      <w:r w:rsidRPr="00851FDE">
        <w:rPr>
          <w:rFonts w:ascii="Titillium" w:hAnsi="Titillium" w:cs="Calibri"/>
          <w:i/>
          <w:sz w:val="18"/>
          <w:szCs w:val="18"/>
        </w:rPr>
        <w:t>indicare una delle modalità individuate dall’articolo 18 del codice</w:t>
      </w:r>
      <w:r>
        <w:rPr>
          <w:rFonts w:ascii="Titillium" w:hAnsi="Titillium" w:cs="Calibri"/>
          <w:sz w:val="18"/>
          <w:szCs w:val="18"/>
        </w:rPr>
        <w:t>]”</w:t>
      </w:r>
      <w:r>
        <w:rPr>
          <w:rFonts w:ascii="Titillium" w:hAnsi="Titillium" w:cs="Calibri"/>
          <w:i/>
          <w:sz w:val="18"/>
          <w:szCs w:val="18"/>
        </w:rPr>
        <w:t>].</w:t>
      </w:r>
    </w:p>
    <w:p w14:paraId="0AC739F2" w14:textId="77777777" w:rsidR="00276DF7" w:rsidRPr="00D61317" w:rsidRDefault="00276DF7" w:rsidP="00276DF7">
      <w:pPr>
        <w:shd w:val="clear" w:color="auto" w:fill="F2F2F2" w:themeFill="background1" w:themeFillShade="F2"/>
        <w:spacing w:before="60" w:after="60"/>
        <w:rPr>
          <w:rFonts w:ascii="Titillium" w:hAnsi="Titillium" w:cs="Calibri"/>
          <w:b/>
          <w:bCs/>
          <w:iCs/>
          <w:sz w:val="18"/>
          <w:szCs w:val="18"/>
        </w:rPr>
      </w:pPr>
    </w:p>
    <w:p w14:paraId="1806A473" w14:textId="77777777" w:rsidR="00276DF7" w:rsidRDefault="00276DF7" w:rsidP="00276DF7">
      <w:pPr>
        <w:shd w:val="clear" w:color="auto" w:fill="F2F2F2" w:themeFill="background1" w:themeFillShade="F2"/>
        <w:spacing w:before="60" w:after="60"/>
      </w:pPr>
      <w:r w:rsidRPr="0078130E">
        <w:rPr>
          <w:rFonts w:ascii="Titillium" w:hAnsi="Titillium" w:cs="Calibri"/>
          <w:i/>
          <w:iCs/>
          <w:sz w:val="18"/>
          <w:szCs w:val="18"/>
        </w:rPr>
        <w:t>[Fino al 31 dicembre 2023]</w:t>
      </w:r>
      <w:r>
        <w:rPr>
          <w:rFonts w:ascii="Titillium" w:hAnsi="Titillium" w:cs="Calibri"/>
          <w:sz w:val="18"/>
          <w:szCs w:val="18"/>
        </w:rPr>
        <w:t xml:space="preserve"> </w:t>
      </w:r>
      <w:r w:rsidRPr="00557FFB">
        <w:rPr>
          <w:rFonts w:ascii="Titillium" w:hAnsi="Titillium" w:cs="Calibri"/>
          <w:sz w:val="18"/>
          <w:szCs w:val="18"/>
        </w:rPr>
        <w:t>Le spese obbligatorie relative alla pubblicazione</w:t>
      </w:r>
      <w:r>
        <w:rPr>
          <w:rFonts w:ascii="Titillium" w:hAnsi="Titillium" w:cs="Calibri"/>
          <w:sz w:val="18"/>
          <w:szCs w:val="18"/>
        </w:rPr>
        <w:t xml:space="preserve"> del bando e dell’avviso sui risultati della procedura di affidamento sono a carico dell’aggiudicatario e devono essere rimborsate entro il termine di sessanta giorni dall’aggiudicazione con le seguenti modalità … </w:t>
      </w:r>
      <w:r w:rsidRPr="00FA3C31">
        <w:rPr>
          <w:rFonts w:ascii="Titillium" w:hAnsi="Titillium" w:cs="Calibri"/>
          <w:i/>
          <w:sz w:val="18"/>
          <w:szCs w:val="18"/>
        </w:rPr>
        <w:t>[indicare le modalità]</w:t>
      </w:r>
      <w:r>
        <w:rPr>
          <w:rFonts w:ascii="Titillium" w:hAnsi="Titillium" w:cs="Calibri"/>
          <w:sz w:val="18"/>
          <w:szCs w:val="18"/>
        </w:rPr>
        <w:t xml:space="preserve">. L’importo massimo presunto delle spese obbligatorie di pubblicazione è pari a € … </w:t>
      </w:r>
      <w:r w:rsidRPr="00777306">
        <w:rPr>
          <w:rFonts w:ascii="Titillium" w:hAnsi="Titillium" w:cs="Calibri"/>
          <w:i/>
          <w:sz w:val="18"/>
          <w:szCs w:val="18"/>
        </w:rPr>
        <w:t>[indicare l’importo presunto]</w:t>
      </w:r>
      <w:r>
        <w:rPr>
          <w:rFonts w:ascii="Titillium" w:hAnsi="Titillium" w:cs="Calibri"/>
          <w:sz w:val="18"/>
          <w:szCs w:val="18"/>
        </w:rPr>
        <w:t xml:space="preserve">. </w:t>
      </w:r>
      <w:r w:rsidRPr="003B5606">
        <w:rPr>
          <w:rFonts w:ascii="Titillium" w:hAnsi="Titillium" w:cs="Calibri"/>
          <w:sz w:val="18"/>
          <w:szCs w:val="18"/>
        </w:rPr>
        <w:t>Sono comunicati tempestivamente all</w:t>
      </w:r>
      <w:r w:rsidRPr="003B5606">
        <w:rPr>
          <w:rFonts w:ascii="Titillium" w:hAnsi="Titillium" w:cs="Calibri" w:hint="eastAsia"/>
          <w:sz w:val="18"/>
          <w:szCs w:val="18"/>
        </w:rPr>
        <w:t>’</w:t>
      </w:r>
      <w:r w:rsidRPr="003B5606">
        <w:rPr>
          <w:rFonts w:ascii="Titillium" w:hAnsi="Titillium" w:cs="Calibri"/>
          <w:sz w:val="18"/>
          <w:szCs w:val="18"/>
        </w:rPr>
        <w:t>aggiudicatario eventuali scostamenti dall</w:t>
      </w:r>
      <w:r w:rsidRPr="003B5606">
        <w:rPr>
          <w:rFonts w:ascii="Titillium" w:hAnsi="Titillium" w:cs="Calibri" w:hint="eastAsia"/>
          <w:sz w:val="18"/>
          <w:szCs w:val="18"/>
        </w:rPr>
        <w:t>’</w:t>
      </w:r>
      <w:r w:rsidRPr="003B5606">
        <w:rPr>
          <w:rFonts w:ascii="Titillium" w:hAnsi="Titillium" w:cs="Calibri"/>
          <w:sz w:val="18"/>
          <w:szCs w:val="18"/>
        </w:rPr>
        <w:t>importo indicato.</w:t>
      </w:r>
    </w:p>
    <w:p w14:paraId="51DF97B5" w14:textId="77777777" w:rsidR="00276DF7" w:rsidRDefault="00276DF7" w:rsidP="00276DF7">
      <w:pPr>
        <w:shd w:val="clear" w:color="auto" w:fill="F2F2F2" w:themeFill="background1" w:themeFillShade="F2"/>
        <w:spacing w:before="60" w:after="60"/>
      </w:pPr>
      <w:r w:rsidRPr="0078130E">
        <w:rPr>
          <w:rFonts w:ascii="Titillium" w:hAnsi="Titillium" w:cs="Calibri"/>
          <w:i/>
          <w:iCs/>
          <w:sz w:val="18"/>
          <w:szCs w:val="18"/>
        </w:rPr>
        <w:t>[Fino al 31 dicembre 2023]</w:t>
      </w:r>
      <w:r>
        <w:rPr>
          <w:rFonts w:ascii="Titillium" w:hAnsi="Titillium" w:cs="Calibri"/>
          <w:sz w:val="18"/>
          <w:szCs w:val="18"/>
        </w:rPr>
        <w:t xml:space="preserve"> </w:t>
      </w:r>
      <w:r>
        <w:rPr>
          <w:rFonts w:ascii="Titillium" w:hAnsi="Titillium" w:cs="Calibri"/>
          <w:b/>
          <w:i/>
          <w:sz w:val="18"/>
          <w:szCs w:val="18"/>
        </w:rPr>
        <w:t xml:space="preserve">[Facoltativo: in caso di suddivisione dell’appalto in lotti] </w:t>
      </w:r>
      <w:r>
        <w:rPr>
          <w:rFonts w:ascii="Titillium" w:hAnsi="Titillium" w:cs="Calibri"/>
          <w:sz w:val="18"/>
          <w:szCs w:val="18"/>
        </w:rPr>
        <w:t xml:space="preserve">Le spese relative alla pubblicazione sono suddivise tra gli aggiudicatari dei lotti in proporzione al relativo valore, secondo il seguente metodo … </w:t>
      </w:r>
      <w:r>
        <w:rPr>
          <w:rFonts w:ascii="Titillium" w:hAnsi="Titillium" w:cs="Calibri"/>
          <w:i/>
          <w:sz w:val="18"/>
          <w:szCs w:val="18"/>
        </w:rPr>
        <w:t>[indicare].</w:t>
      </w:r>
    </w:p>
    <w:p w14:paraId="09CBE2FC" w14:textId="77777777" w:rsidR="00276DF7" w:rsidRPr="00557FFB" w:rsidRDefault="00276DF7" w:rsidP="00276DF7">
      <w:pPr>
        <w:shd w:val="clear" w:color="auto" w:fill="F2F2F2" w:themeFill="background1" w:themeFillShade="F2"/>
        <w:spacing w:before="60" w:after="60"/>
      </w:pPr>
      <w:r w:rsidRPr="0078130E">
        <w:rPr>
          <w:rFonts w:ascii="Titillium" w:hAnsi="Titillium" w:cs="Calibri"/>
          <w:i/>
          <w:iCs/>
          <w:sz w:val="18"/>
          <w:szCs w:val="18"/>
        </w:rPr>
        <w:t>[Fino al 31 dicembre 2023]</w:t>
      </w:r>
      <w:r>
        <w:rPr>
          <w:rFonts w:ascii="Titillium" w:hAnsi="Titillium" w:cs="Calibri"/>
          <w:sz w:val="18"/>
          <w:szCs w:val="18"/>
        </w:rPr>
        <w:t xml:space="preserve"> </w:t>
      </w:r>
      <w:r>
        <w:rPr>
          <w:rFonts w:ascii="Titillium" w:hAnsi="Titillium" w:cs="Calibri"/>
          <w:b/>
          <w:i/>
          <w:sz w:val="18"/>
          <w:szCs w:val="18"/>
        </w:rPr>
        <w:t>[Facoltativo: in caso di rimborso rateizzato delle spese di pubblicazione]</w:t>
      </w:r>
      <w:r>
        <w:rPr>
          <w:rFonts w:ascii="Titillium" w:hAnsi="Titillium" w:cs="Calibri"/>
          <w:sz w:val="18"/>
          <w:szCs w:val="18"/>
        </w:rPr>
        <w:t xml:space="preserve"> La stazione appaltante, su richiesta dell’aggiudicatario, </w:t>
      </w:r>
      <w:r w:rsidRPr="00557FFB">
        <w:rPr>
          <w:rFonts w:ascii="Titillium" w:hAnsi="Titillium" w:cs="Calibri"/>
          <w:sz w:val="18"/>
          <w:szCs w:val="18"/>
        </w:rPr>
        <w:t>consente il rimborso rateizzato delle spese di pubblicazione.</w:t>
      </w:r>
    </w:p>
    <w:p w14:paraId="6DCF840F" w14:textId="77777777" w:rsidR="00276DF7" w:rsidRDefault="00276DF7" w:rsidP="00276DF7">
      <w:pPr>
        <w:widowControl w:val="0"/>
        <w:shd w:val="clear" w:color="auto" w:fill="F2F2F2" w:themeFill="background1" w:themeFillShade="F2"/>
        <w:spacing w:before="60" w:after="60"/>
        <w:rPr>
          <w:rFonts w:ascii="Titillium" w:hAnsi="Titillium" w:cs="Calibri"/>
          <w:sz w:val="18"/>
          <w:szCs w:val="18"/>
          <w:lang w:eastAsia="it-IT"/>
        </w:rPr>
      </w:pPr>
      <w:r w:rsidRPr="00557FFB">
        <w:rPr>
          <w:rFonts w:ascii="Titillium" w:hAnsi="Titillium" w:cs="Calibri"/>
          <w:sz w:val="18"/>
          <w:szCs w:val="18"/>
          <w:lang w:eastAsia="it-IT"/>
        </w:rPr>
        <w:t>Sono a carico dell’aggiudicatario tutte le spese contrattuali, gli oneri fiscali quali imposte e tasse - ivi comprese quelle di</w:t>
      </w:r>
      <w:r>
        <w:rPr>
          <w:rFonts w:ascii="Titillium" w:hAnsi="Titillium" w:cs="Calibri"/>
          <w:sz w:val="18"/>
          <w:szCs w:val="18"/>
          <w:lang w:eastAsia="it-IT"/>
        </w:rPr>
        <w:t xml:space="preserve"> registro ove dovute - relative alla stipulazione del contratto. </w:t>
      </w:r>
    </w:p>
    <w:p w14:paraId="4D0A1B39" w14:textId="77777777" w:rsidR="00276DF7" w:rsidRPr="00CD3EBE" w:rsidRDefault="00276DF7" w:rsidP="00276DF7">
      <w:pPr>
        <w:shd w:val="clear" w:color="auto" w:fill="F2F2F2" w:themeFill="background1" w:themeFillShade="F2"/>
        <w:spacing w:before="60" w:after="60"/>
        <w:rPr>
          <w:rFonts w:ascii="Titillium" w:hAnsi="Titillium" w:cs="Calibri"/>
          <w:sz w:val="18"/>
          <w:szCs w:val="18"/>
        </w:rPr>
      </w:pPr>
      <w:r w:rsidRPr="00CD3EBE">
        <w:rPr>
          <w:rFonts w:ascii="Titillium" w:hAnsi="Titillium" w:cs="Calibri"/>
          <w:b/>
          <w:bCs/>
          <w:i/>
          <w:iCs/>
          <w:sz w:val="18"/>
          <w:szCs w:val="18"/>
        </w:rPr>
        <w:t>[</w:t>
      </w:r>
      <w:r>
        <w:rPr>
          <w:rFonts w:ascii="Titillium" w:hAnsi="Titillium" w:cs="Calibri"/>
          <w:b/>
          <w:bCs/>
          <w:i/>
          <w:iCs/>
          <w:sz w:val="18"/>
          <w:szCs w:val="18"/>
        </w:rPr>
        <w:t>F</w:t>
      </w:r>
      <w:r w:rsidRPr="00CD3EBE">
        <w:rPr>
          <w:rFonts w:ascii="Titillium" w:hAnsi="Titillium" w:cs="Calibri"/>
          <w:b/>
          <w:bCs/>
          <w:i/>
          <w:iCs/>
          <w:sz w:val="18"/>
          <w:szCs w:val="18"/>
        </w:rPr>
        <w:t>acoltativo]</w:t>
      </w:r>
      <w:r w:rsidRPr="00CD3EBE">
        <w:rPr>
          <w:rFonts w:ascii="Titillium" w:hAnsi="Titillium" w:cs="Calibri"/>
          <w:sz w:val="18"/>
          <w:szCs w:val="18"/>
        </w:rPr>
        <w:t xml:space="preserve"> </w:t>
      </w:r>
      <w:r>
        <w:rPr>
          <w:rFonts w:ascii="Titillium" w:hAnsi="Titillium" w:cs="Calibri"/>
          <w:sz w:val="18"/>
          <w:szCs w:val="18"/>
        </w:rPr>
        <w:t>In caso di interpello a seguito di</w:t>
      </w:r>
      <w:r w:rsidRPr="00CD3EBE">
        <w:rPr>
          <w:rFonts w:ascii="Titillium" w:hAnsi="Titillium" w:cs="Calibri"/>
          <w:sz w:val="18"/>
          <w:szCs w:val="18"/>
        </w:rPr>
        <w:t xml:space="preserve"> risoluzione/recesso </w:t>
      </w:r>
      <w:r>
        <w:rPr>
          <w:rFonts w:ascii="Titillium" w:hAnsi="Titillium" w:cs="Calibri"/>
          <w:sz w:val="18"/>
          <w:szCs w:val="18"/>
        </w:rPr>
        <w:t xml:space="preserve">del contratto </w:t>
      </w:r>
      <w:r w:rsidRPr="00CD3EBE">
        <w:rPr>
          <w:rFonts w:ascii="Titillium" w:hAnsi="Titillium" w:cs="Calibri"/>
          <w:sz w:val="18"/>
          <w:szCs w:val="18"/>
        </w:rPr>
        <w:t>in corso di esecuzione</w:t>
      </w:r>
      <w:r>
        <w:rPr>
          <w:rFonts w:ascii="Titillium" w:hAnsi="Titillium" w:cs="Calibri"/>
          <w:sz w:val="18"/>
          <w:szCs w:val="18"/>
        </w:rPr>
        <w:t>,</w:t>
      </w:r>
      <w:r w:rsidRPr="00CD3EBE">
        <w:rPr>
          <w:rFonts w:ascii="Titillium" w:hAnsi="Titillium" w:cs="Calibri"/>
          <w:sz w:val="18"/>
          <w:szCs w:val="18"/>
        </w:rPr>
        <w:t xml:space="preserve"> il nuovo affidamento avviene alle condizioni proposte dall’operatore economico interpellato</w:t>
      </w:r>
      <w:r>
        <w:rPr>
          <w:rFonts w:ascii="Titillium" w:hAnsi="Titillium" w:cs="Calibri"/>
          <w:sz w:val="18"/>
          <w:szCs w:val="18"/>
        </w:rPr>
        <w:t>, ai sensi dell’art. 124 comma 2 del Codice.</w:t>
      </w:r>
    </w:p>
    <w:p w14:paraId="17C34994" w14:textId="77777777" w:rsidR="00276DF7" w:rsidRDefault="00276DF7" w:rsidP="00276DF7">
      <w:pPr>
        <w:pStyle w:val="Titolo2"/>
        <w:numPr>
          <w:ilvl w:val="0"/>
          <w:numId w:val="27"/>
        </w:numPr>
        <w:shd w:val="clear" w:color="auto" w:fill="F2F2F2" w:themeFill="background1" w:themeFillShade="F2"/>
        <w:ind w:left="357" w:hanging="357"/>
      </w:pPr>
      <w:bookmarkStart w:id="3111" w:name="_Toc139549456"/>
      <w:r>
        <w:rPr>
          <w:rFonts w:ascii="Titillium" w:hAnsi="Titillium"/>
          <w:caps w:val="0"/>
          <w:sz w:val="18"/>
          <w:szCs w:val="18"/>
        </w:rPr>
        <w:lastRenderedPageBreak/>
        <w:t>OBBLIGHI RELATIVI ALLA TRACCIABILITÀ DEI FLUSSI FINANZIARI</w:t>
      </w:r>
      <w:bookmarkEnd w:id="3111"/>
      <w:r>
        <w:rPr>
          <w:rFonts w:ascii="Titillium" w:hAnsi="Titillium"/>
          <w:caps w:val="0"/>
          <w:sz w:val="18"/>
          <w:szCs w:val="18"/>
        </w:rPr>
        <w:t xml:space="preserve"> </w:t>
      </w:r>
    </w:p>
    <w:p w14:paraId="39EA6D83" w14:textId="77777777" w:rsidR="00276DF7" w:rsidRDefault="00276DF7" w:rsidP="00276DF7">
      <w:pPr>
        <w:shd w:val="clear" w:color="auto" w:fill="F2F2F2" w:themeFill="background1" w:themeFillShade="F2"/>
        <w:rPr>
          <w:rFonts w:ascii="Titillium" w:hAnsi="Titillium"/>
          <w:sz w:val="18"/>
          <w:szCs w:val="18"/>
        </w:rPr>
      </w:pPr>
      <w:r>
        <w:rPr>
          <w:rFonts w:ascii="Titillium" w:hAnsi="Titillium"/>
          <w:sz w:val="18"/>
          <w:szCs w:val="18"/>
        </w:rPr>
        <w:t>Il contratto d’appalto è soggetto agli obblighi in tema di tracciabilità dei flussi finanziari di cui alla legge 13 agosto 2010, n. 136.</w:t>
      </w:r>
    </w:p>
    <w:p w14:paraId="7177FDA6" w14:textId="77777777" w:rsidR="00276DF7" w:rsidRDefault="00276DF7" w:rsidP="00276DF7">
      <w:pPr>
        <w:shd w:val="clear" w:color="auto" w:fill="F2F2F2" w:themeFill="background1" w:themeFillShade="F2"/>
        <w:rPr>
          <w:rFonts w:ascii="Titillium" w:hAnsi="Titillium"/>
          <w:sz w:val="18"/>
          <w:szCs w:val="18"/>
        </w:rPr>
      </w:pPr>
      <w:r>
        <w:rPr>
          <w:rFonts w:ascii="Titillium" w:hAnsi="Titillium"/>
          <w:sz w:val="18"/>
          <w:szCs w:val="18"/>
        </w:rPr>
        <w:t>L’affidatario deve comunicare alla stazione appaltante:</w:t>
      </w:r>
    </w:p>
    <w:p w14:paraId="234AB8F3" w14:textId="77777777" w:rsidR="00276DF7" w:rsidRDefault="00276DF7" w:rsidP="00276DF7">
      <w:pPr>
        <w:pStyle w:val="Paragrafoelenco"/>
        <w:numPr>
          <w:ilvl w:val="0"/>
          <w:numId w:val="32"/>
        </w:numPr>
        <w:shd w:val="clear" w:color="auto" w:fill="F2F2F2" w:themeFill="background1" w:themeFillShade="F2"/>
        <w:rPr>
          <w:rFonts w:ascii="Titillium" w:hAnsi="Titillium"/>
          <w:sz w:val="18"/>
          <w:szCs w:val="18"/>
        </w:rPr>
      </w:pPr>
      <w:r>
        <w:rPr>
          <w:rFonts w:ascii="Titillium" w:hAnsi="Titillium"/>
          <w:sz w:val="18"/>
          <w:szCs w:val="18"/>
        </w:rPr>
        <w:t>gli estremi identificativi dei conti correnti bancari o postali dedicati, con l'indicazione dell'opera/servizio/fornitura alla quale sono dedicati;</w:t>
      </w:r>
    </w:p>
    <w:p w14:paraId="04A60EA2" w14:textId="77777777" w:rsidR="00276DF7" w:rsidRDefault="00276DF7" w:rsidP="00276DF7">
      <w:pPr>
        <w:pStyle w:val="Paragrafoelenco"/>
        <w:numPr>
          <w:ilvl w:val="0"/>
          <w:numId w:val="32"/>
        </w:numPr>
        <w:shd w:val="clear" w:color="auto" w:fill="F2F2F2" w:themeFill="background1" w:themeFillShade="F2"/>
        <w:rPr>
          <w:rFonts w:ascii="Titillium" w:hAnsi="Titillium"/>
          <w:sz w:val="18"/>
          <w:szCs w:val="18"/>
        </w:rPr>
      </w:pPr>
      <w:r>
        <w:rPr>
          <w:rFonts w:ascii="Titillium" w:hAnsi="Titillium"/>
          <w:sz w:val="18"/>
          <w:szCs w:val="18"/>
        </w:rPr>
        <w:t>le generalità e il codice fiscale delle persone delegate ad operare sugli stessi;</w:t>
      </w:r>
    </w:p>
    <w:p w14:paraId="718C13D9" w14:textId="77777777" w:rsidR="00276DF7" w:rsidRDefault="00276DF7" w:rsidP="00276DF7">
      <w:pPr>
        <w:pStyle w:val="Paragrafoelenco"/>
        <w:numPr>
          <w:ilvl w:val="0"/>
          <w:numId w:val="32"/>
        </w:numPr>
        <w:shd w:val="clear" w:color="auto" w:fill="F2F2F2" w:themeFill="background1" w:themeFillShade="F2"/>
        <w:rPr>
          <w:rFonts w:ascii="Titillium" w:hAnsi="Titillium"/>
          <w:sz w:val="18"/>
          <w:szCs w:val="18"/>
        </w:rPr>
      </w:pPr>
      <w:r>
        <w:rPr>
          <w:rFonts w:ascii="Titillium" w:hAnsi="Titillium"/>
          <w:sz w:val="18"/>
          <w:szCs w:val="18"/>
        </w:rPr>
        <w:t xml:space="preserve">ogni modifica relativa ai dati trasmessi. </w:t>
      </w:r>
    </w:p>
    <w:p w14:paraId="25E2521C" w14:textId="77777777" w:rsidR="00276DF7" w:rsidRDefault="00276DF7" w:rsidP="00276DF7">
      <w:pPr>
        <w:shd w:val="clear" w:color="auto" w:fill="F2F2F2" w:themeFill="background1" w:themeFillShade="F2"/>
        <w:rPr>
          <w:rFonts w:ascii="Titillium" w:hAnsi="Titillium"/>
          <w:sz w:val="18"/>
          <w:szCs w:val="18"/>
        </w:rPr>
      </w:pPr>
      <w:r>
        <w:rPr>
          <w:rFonts w:ascii="Titillium" w:hAnsi="Titillium"/>
          <w:sz w:val="18"/>
          <w:szCs w:val="18"/>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w:t>
      </w:r>
      <w:r w:rsidRPr="00851D38">
        <w:rPr>
          <w:rFonts w:ascii="Titillium" w:hAnsi="Titillium"/>
          <w:sz w:val="18"/>
          <w:szCs w:val="18"/>
        </w:rPr>
        <w:t>una sanzione amministrativa pecuniaria da 500 a 3.000 euro.</w:t>
      </w:r>
      <w:r>
        <w:rPr>
          <w:rFonts w:ascii="Titillium" w:hAnsi="Titillium"/>
          <w:sz w:val="18"/>
          <w:szCs w:val="18"/>
        </w:rPr>
        <w:t xml:space="preserve"> </w:t>
      </w:r>
    </w:p>
    <w:p w14:paraId="7674D3C3" w14:textId="77777777" w:rsidR="00276DF7" w:rsidRDefault="00276DF7" w:rsidP="00276DF7">
      <w:pPr>
        <w:shd w:val="clear" w:color="auto" w:fill="F2F2F2" w:themeFill="background1" w:themeFillShade="F2"/>
        <w:rPr>
          <w:rFonts w:ascii="Titillium" w:hAnsi="Titillium"/>
          <w:sz w:val="18"/>
          <w:szCs w:val="18"/>
        </w:rPr>
      </w:pPr>
      <w:r>
        <w:rPr>
          <w:rFonts w:ascii="Titillium" w:hAnsi="Titillium"/>
          <w:sz w:val="18"/>
          <w:szCs w:val="18"/>
        </w:rPr>
        <w:t xml:space="preserve">Il mancato adempimento agli obblighi previsti per la tracciabilità dei flussi finanziari relativi all’appalto comporta la risoluzione di diritto del contratto. </w:t>
      </w:r>
    </w:p>
    <w:p w14:paraId="7AECC6A3" w14:textId="77777777" w:rsidR="00276DF7" w:rsidRDefault="00276DF7" w:rsidP="00276DF7">
      <w:pPr>
        <w:shd w:val="clear" w:color="auto" w:fill="F2F2F2" w:themeFill="background1" w:themeFillShade="F2"/>
        <w:rPr>
          <w:rFonts w:ascii="Titillium" w:hAnsi="Titillium"/>
          <w:sz w:val="18"/>
          <w:szCs w:val="18"/>
        </w:rPr>
      </w:pPr>
      <w:r>
        <w:rPr>
          <w:rFonts w:ascii="Titillium" w:hAnsi="Titillium"/>
          <w:sz w:val="18"/>
          <w:szCs w:val="18"/>
        </w:rPr>
        <w:t>In occasione di ogni pagamento all’appaltatore o di interventi di controllo ulteriori si procede alla verifica dell’assolvimento degli obblighi relativi alla tracciabilità dei flussi finanziari.</w:t>
      </w:r>
    </w:p>
    <w:p w14:paraId="688D6382" w14:textId="77777777" w:rsidR="00276DF7" w:rsidRDefault="00276DF7" w:rsidP="00276DF7">
      <w:pPr>
        <w:shd w:val="clear" w:color="auto" w:fill="F2F2F2" w:themeFill="background1" w:themeFillShade="F2"/>
        <w:rPr>
          <w:rFonts w:ascii="Titillium" w:hAnsi="Titillium"/>
          <w:sz w:val="18"/>
          <w:szCs w:val="18"/>
        </w:rPr>
      </w:pPr>
      <w:r>
        <w:rPr>
          <w:rFonts w:ascii="Titillium" w:hAnsi="Titillium"/>
          <w:sz w:val="18"/>
          <w:szCs w:val="18"/>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132F5BA7" w14:textId="77777777" w:rsidR="00276DF7" w:rsidRDefault="00276DF7" w:rsidP="00276DF7">
      <w:pPr>
        <w:pStyle w:val="Titolo2"/>
        <w:numPr>
          <w:ilvl w:val="0"/>
          <w:numId w:val="27"/>
        </w:numPr>
        <w:shd w:val="clear" w:color="auto" w:fill="F2F2F2" w:themeFill="background1" w:themeFillShade="F2"/>
        <w:ind w:left="357" w:hanging="357"/>
      </w:pPr>
      <w:bookmarkStart w:id="3112" w:name="_Toc139549457"/>
      <w:r>
        <w:rPr>
          <w:rFonts w:ascii="Titillium" w:hAnsi="Titillium"/>
          <w:caps w:val="0"/>
          <w:sz w:val="18"/>
          <w:szCs w:val="18"/>
        </w:rPr>
        <w:t xml:space="preserve">CODICE </w:t>
      </w:r>
      <w:r>
        <w:rPr>
          <w:rFonts w:ascii="Titillium" w:hAnsi="Titillium"/>
          <w:caps w:val="0"/>
          <w:sz w:val="18"/>
          <w:szCs w:val="18"/>
          <w:lang w:val="it-IT"/>
        </w:rPr>
        <w:t>DI COMPORTAMENTO</w:t>
      </w:r>
      <w:bookmarkEnd w:id="3112"/>
      <w:r>
        <w:rPr>
          <w:rFonts w:ascii="Titillium" w:hAnsi="Titillium"/>
          <w:caps w:val="0"/>
          <w:sz w:val="18"/>
          <w:szCs w:val="18"/>
          <w:lang w:val="it-IT"/>
        </w:rPr>
        <w:t xml:space="preserve"> </w:t>
      </w:r>
      <w:r>
        <w:rPr>
          <w:rFonts w:ascii="Titillium" w:hAnsi="Titillium"/>
          <w:caps w:val="0"/>
          <w:sz w:val="18"/>
          <w:szCs w:val="18"/>
        </w:rPr>
        <w:t xml:space="preserve"> </w:t>
      </w:r>
    </w:p>
    <w:p w14:paraId="1ADBDEF3" w14:textId="77777777" w:rsidR="00276DF7" w:rsidRPr="00331144" w:rsidRDefault="00276DF7" w:rsidP="00276DF7">
      <w:pPr>
        <w:widowControl w:val="0"/>
        <w:shd w:val="clear" w:color="auto" w:fill="F2F2F2" w:themeFill="background1" w:themeFillShade="F2"/>
        <w:spacing w:line="280" w:lineRule="exact"/>
      </w:pPr>
      <w:r>
        <w:rPr>
          <w:rFonts w:ascii="Titillium" w:hAnsi="Titillium"/>
          <w:sz w:val="18"/>
          <w:szCs w:val="18"/>
          <w:lang w:eastAsia="it-IT"/>
        </w:rPr>
        <w:t xml:space="preserve">Nello svolgimento delle attività oggetto del contratto di appalto, l’aggiudicatario </w:t>
      </w:r>
      <w:r w:rsidRPr="00331144">
        <w:rPr>
          <w:rFonts w:ascii="Titillium" w:hAnsi="Titillium"/>
          <w:i/>
          <w:sz w:val="18"/>
          <w:szCs w:val="18"/>
          <w:lang w:eastAsia="it-IT"/>
        </w:rPr>
        <w:t>[nel caso di più lotti: di ciascun lotto]</w:t>
      </w:r>
      <w:r>
        <w:rPr>
          <w:rFonts w:ascii="Titillium" w:hAnsi="Titillium"/>
          <w:sz w:val="18"/>
          <w:szCs w:val="18"/>
          <w:lang w:eastAsia="it-IT"/>
        </w:rPr>
        <w:t xml:space="preserve"> deve uniformarsi ai principi e, per quanto compatibili,  ai doveri di condotta richiamati nel Decreto del Presidente della Repubblica 16 aprile 2013 n. 62  e nel codice di comportamento di questa stazione appaltante e </w:t>
      </w:r>
      <w:r w:rsidRPr="001F6690">
        <w:rPr>
          <w:rFonts w:ascii="Titillium" w:hAnsi="Titillium"/>
          <w:i/>
          <w:sz w:val="18"/>
          <w:szCs w:val="18"/>
          <w:lang w:eastAsia="it-IT"/>
        </w:rPr>
        <w:t>[per le pubbliche amministrazioni]</w:t>
      </w:r>
      <w:r w:rsidRPr="00331144">
        <w:rPr>
          <w:rFonts w:ascii="Titillium" w:hAnsi="Titillium"/>
          <w:sz w:val="18"/>
          <w:szCs w:val="18"/>
          <w:lang w:eastAsia="it-IT"/>
        </w:rPr>
        <w:t xml:space="preserve"> n</w:t>
      </w:r>
      <w:r w:rsidRPr="00331144">
        <w:rPr>
          <w:rFonts w:ascii="Titillium" w:hAnsi="Titillium"/>
          <w:iCs/>
          <w:sz w:val="18"/>
          <w:szCs w:val="18"/>
          <w:lang w:eastAsia="it-IT"/>
        </w:rPr>
        <w:t>el Piano Triennale di Prevenzione della Corruzione e della Trasparenza</w:t>
      </w:r>
      <w:r>
        <w:rPr>
          <w:rFonts w:ascii="Titillium" w:hAnsi="Titillium"/>
          <w:i/>
          <w:iCs/>
          <w:sz w:val="18"/>
          <w:szCs w:val="18"/>
          <w:lang w:eastAsia="it-IT"/>
        </w:rPr>
        <w:t xml:space="preserve">, nonché [per le amministrazioni tenute alla redazione del PIAO]  </w:t>
      </w:r>
      <w:r w:rsidRPr="00F915C9">
        <w:rPr>
          <w:rFonts w:ascii="Titillium" w:hAnsi="Titillium"/>
          <w:iCs/>
          <w:sz w:val="18"/>
          <w:szCs w:val="18"/>
          <w:lang w:eastAsia="it-IT"/>
        </w:rPr>
        <w:t>nella sottosezione Rischi corruttivi e trasparenza</w:t>
      </w:r>
      <w:r>
        <w:rPr>
          <w:rFonts w:ascii="Titillium" w:hAnsi="Titillium"/>
          <w:iCs/>
          <w:sz w:val="18"/>
          <w:szCs w:val="18"/>
          <w:lang w:eastAsia="it-IT"/>
        </w:rPr>
        <w:t xml:space="preserve"> del PIAO]</w:t>
      </w:r>
      <w:r w:rsidRPr="00F915C9">
        <w:rPr>
          <w:rFonts w:ascii="Titillium" w:hAnsi="Titillium"/>
          <w:i/>
          <w:iCs/>
          <w:sz w:val="18"/>
          <w:szCs w:val="18"/>
          <w:lang w:eastAsia="it-IT"/>
        </w:rPr>
        <w:t xml:space="preserve"> </w:t>
      </w:r>
      <w:r w:rsidRPr="001F6690">
        <w:rPr>
          <w:rFonts w:ascii="Titillium" w:hAnsi="Titillium"/>
          <w:i/>
          <w:iCs/>
          <w:sz w:val="18"/>
          <w:szCs w:val="18"/>
          <w:lang w:eastAsia="it-IT"/>
        </w:rPr>
        <w:t xml:space="preserve">[negli altri casi </w:t>
      </w:r>
      <w:r w:rsidRPr="001F6690">
        <w:rPr>
          <w:rFonts w:ascii="Titillium" w:hAnsi="Titillium"/>
          <w:i/>
          <w:sz w:val="18"/>
          <w:szCs w:val="18"/>
          <w:lang w:eastAsia="it-IT"/>
        </w:rPr>
        <w:t>nel Modello di organizzazione, gestione e controllo adottato dalla medesima ai sensi del decreto legislativo n. 231/01]</w:t>
      </w:r>
      <w:r w:rsidRPr="00331144">
        <w:rPr>
          <w:rFonts w:ascii="Titillium" w:hAnsi="Titillium"/>
          <w:sz w:val="18"/>
          <w:szCs w:val="18"/>
          <w:lang w:eastAsia="it-IT"/>
        </w:rPr>
        <w:t xml:space="preserve">. </w:t>
      </w:r>
    </w:p>
    <w:p w14:paraId="0004DC7C" w14:textId="77777777" w:rsidR="00276DF7" w:rsidRDefault="00276DF7" w:rsidP="00276DF7">
      <w:pPr>
        <w:widowControl w:val="0"/>
        <w:shd w:val="clear" w:color="auto" w:fill="F2F2F2" w:themeFill="background1" w:themeFillShade="F2"/>
        <w:spacing w:line="280" w:lineRule="exact"/>
      </w:pPr>
      <w:r>
        <w:rPr>
          <w:rFonts w:ascii="Titillium" w:hAnsi="Titillium"/>
          <w:sz w:val="18"/>
          <w:szCs w:val="18"/>
          <w:lang w:eastAsia="it-IT"/>
        </w:rPr>
        <w:t xml:space="preserve">In seguito alla comunicazione di aggiudicazione e prima della stipula del contratto, l’aggiudicatario </w:t>
      </w:r>
      <w:r>
        <w:rPr>
          <w:rFonts w:ascii="Titillium" w:hAnsi="Titillium"/>
          <w:i/>
          <w:sz w:val="18"/>
          <w:szCs w:val="18"/>
          <w:lang w:eastAsia="it-IT"/>
        </w:rPr>
        <w:t>[nel caso di più lotti: di ciascun lotto]</w:t>
      </w:r>
      <w:r>
        <w:rPr>
          <w:rFonts w:ascii="Titillium" w:hAnsi="Titillium"/>
          <w:sz w:val="18"/>
          <w:szCs w:val="18"/>
          <w:lang w:eastAsia="it-IT"/>
        </w:rPr>
        <w:t xml:space="preserve"> ha l’onere di prendere visione dei predetti documenti pubblicati sul sito della stazione </w:t>
      </w:r>
      <w:r>
        <w:rPr>
          <w:rFonts w:ascii="Titillium" w:hAnsi="Titillium"/>
          <w:i/>
          <w:sz w:val="18"/>
          <w:szCs w:val="18"/>
          <w:lang w:eastAsia="it-IT"/>
        </w:rPr>
        <w:t>appaltante [</w:t>
      </w:r>
      <w:r>
        <w:rPr>
          <w:rFonts w:ascii="Titillium" w:hAnsi="Titillium"/>
          <w:i/>
          <w:iCs/>
          <w:sz w:val="18"/>
          <w:szCs w:val="18"/>
          <w:lang w:eastAsia="it-IT"/>
        </w:rPr>
        <w:t>indicare il link dove è possibile leggere i predetti documenti</w:t>
      </w:r>
      <w:r>
        <w:rPr>
          <w:rFonts w:ascii="Titillium" w:hAnsi="Titillium"/>
          <w:i/>
          <w:sz w:val="18"/>
          <w:szCs w:val="18"/>
          <w:lang w:eastAsia="it-IT"/>
        </w:rPr>
        <w:t>]</w:t>
      </w:r>
      <w:r>
        <w:rPr>
          <w:rFonts w:ascii="Titillium" w:hAnsi="Titillium"/>
          <w:sz w:val="18"/>
          <w:szCs w:val="18"/>
          <w:lang w:eastAsia="it-IT"/>
        </w:rPr>
        <w:t>.</w:t>
      </w:r>
    </w:p>
    <w:p w14:paraId="558B2A1B" w14:textId="77777777" w:rsidR="00276DF7" w:rsidRDefault="00276DF7" w:rsidP="00276DF7">
      <w:pPr>
        <w:pStyle w:val="Titolo2"/>
        <w:numPr>
          <w:ilvl w:val="0"/>
          <w:numId w:val="27"/>
        </w:numPr>
        <w:shd w:val="clear" w:color="auto" w:fill="F2F2F2" w:themeFill="background1" w:themeFillShade="F2"/>
        <w:ind w:left="357" w:hanging="357"/>
        <w:rPr>
          <w:rFonts w:ascii="Titillium" w:hAnsi="Titillium"/>
          <w:sz w:val="18"/>
          <w:szCs w:val="18"/>
          <w:lang w:val="it-IT"/>
        </w:rPr>
      </w:pPr>
      <w:bookmarkStart w:id="3113" w:name="_Toc139549458"/>
      <w:r>
        <w:rPr>
          <w:rFonts w:ascii="Titillium" w:hAnsi="Titillium"/>
          <w:sz w:val="18"/>
          <w:szCs w:val="18"/>
          <w:lang w:val="it-IT"/>
        </w:rPr>
        <w:t>ACCESSO AGLI ATTI</w:t>
      </w:r>
      <w:bookmarkEnd w:id="3113"/>
    </w:p>
    <w:p w14:paraId="56DB3C54" w14:textId="77777777" w:rsidR="00276DF7" w:rsidRPr="00851FDE" w:rsidRDefault="00276DF7" w:rsidP="00276DF7">
      <w:pPr>
        <w:widowControl w:val="0"/>
        <w:shd w:val="clear" w:color="auto" w:fill="F2F2F2" w:themeFill="background1" w:themeFillShade="F2"/>
        <w:spacing w:line="280" w:lineRule="exact"/>
        <w:rPr>
          <w:rFonts w:ascii="Titillium" w:hAnsi="Titillium"/>
          <w:b/>
          <w:bCs/>
          <w:i/>
          <w:iCs/>
          <w:sz w:val="18"/>
          <w:szCs w:val="18"/>
        </w:rPr>
      </w:pPr>
      <w:r w:rsidRPr="00851FDE">
        <w:rPr>
          <w:rFonts w:ascii="Titillium" w:hAnsi="Titillium"/>
          <w:b/>
          <w:bCs/>
          <w:i/>
          <w:iCs/>
          <w:sz w:val="18"/>
          <w:szCs w:val="18"/>
        </w:rPr>
        <w:t>[Fino al 31 dicembre 2023]</w:t>
      </w:r>
    </w:p>
    <w:p w14:paraId="33A64725" w14:textId="77777777" w:rsidR="00276DF7" w:rsidRDefault="00276DF7" w:rsidP="00276DF7">
      <w:pPr>
        <w:widowControl w:val="0"/>
        <w:shd w:val="clear" w:color="auto" w:fill="F2F2F2" w:themeFill="background1" w:themeFillShade="F2"/>
        <w:spacing w:line="280" w:lineRule="exact"/>
      </w:pPr>
      <w:r>
        <w:rPr>
          <w:rFonts w:ascii="Titillium" w:hAnsi="Titillium"/>
          <w:sz w:val="18"/>
          <w:szCs w:val="18"/>
        </w:rPr>
        <w:t>L’accesso agli atti della procedura è consentito nel rispetto di quanto previsto dall’articolo 53 del decreto legislativo n. 50/2016 e dalle vigenti disposizioni in materia di diritto di accesso ai documenti amministrativi secondo le seguenti modalità … [</w:t>
      </w:r>
      <w:r>
        <w:rPr>
          <w:rFonts w:ascii="Titillium" w:hAnsi="Titillium"/>
          <w:i/>
          <w:iCs/>
          <w:sz w:val="18"/>
          <w:szCs w:val="18"/>
        </w:rPr>
        <w:t>indicare</w:t>
      </w:r>
      <w:r>
        <w:rPr>
          <w:rFonts w:ascii="Titillium" w:hAnsi="Titillium"/>
          <w:sz w:val="18"/>
          <w:szCs w:val="18"/>
        </w:rPr>
        <w:t>].</w:t>
      </w:r>
    </w:p>
    <w:p w14:paraId="0D042E1C" w14:textId="77777777" w:rsidR="00276DF7" w:rsidRDefault="00276DF7" w:rsidP="00276DF7">
      <w:pPr>
        <w:widowControl w:val="0"/>
        <w:shd w:val="clear" w:color="auto" w:fill="F2F2F2" w:themeFill="background1" w:themeFillShade="F2"/>
        <w:spacing w:line="280" w:lineRule="exact"/>
        <w:rPr>
          <w:rFonts w:ascii="Titillium" w:hAnsi="Titillium"/>
          <w:sz w:val="18"/>
          <w:szCs w:val="18"/>
        </w:rPr>
      </w:pPr>
    </w:p>
    <w:p w14:paraId="7469AF93" w14:textId="77777777" w:rsidR="00276DF7" w:rsidRDefault="00276DF7" w:rsidP="00276DF7">
      <w:pPr>
        <w:widowControl w:val="0"/>
        <w:shd w:val="clear" w:color="auto" w:fill="F2F2F2" w:themeFill="background1" w:themeFillShade="F2"/>
        <w:spacing w:line="280" w:lineRule="exact"/>
        <w:rPr>
          <w:rFonts w:ascii="Titillium" w:hAnsi="Titillium"/>
          <w:sz w:val="18"/>
          <w:szCs w:val="18"/>
        </w:rPr>
      </w:pPr>
    </w:p>
    <w:p w14:paraId="15819E94" w14:textId="77777777" w:rsidR="00276DF7" w:rsidRDefault="00276DF7" w:rsidP="00276DF7">
      <w:pPr>
        <w:widowControl w:val="0"/>
        <w:shd w:val="clear" w:color="auto" w:fill="F2F2F2" w:themeFill="background1" w:themeFillShade="F2"/>
        <w:spacing w:line="280" w:lineRule="exact"/>
        <w:rPr>
          <w:rFonts w:ascii="Titillium" w:hAnsi="Titillium"/>
          <w:sz w:val="18"/>
          <w:szCs w:val="18"/>
        </w:rPr>
      </w:pPr>
      <w:r w:rsidRPr="00851FDE">
        <w:rPr>
          <w:rFonts w:ascii="Titillium" w:hAnsi="Titillium"/>
          <w:b/>
          <w:bCs/>
          <w:i/>
          <w:iCs/>
          <w:sz w:val="18"/>
          <w:szCs w:val="18"/>
        </w:rPr>
        <w:t>[A decorrere dal 1° gennaio 2024]</w:t>
      </w:r>
      <w:r>
        <w:rPr>
          <w:rFonts w:ascii="Titillium" w:hAnsi="Titillium"/>
          <w:sz w:val="18"/>
          <w:szCs w:val="18"/>
        </w:rPr>
        <w:t xml:space="preserve"> L’accesso agli atti della procedura è assicurato in modalità digitale mediante acquisizione diretta dei dati e delle informazioni inseriti nelle piattaforme di e-procurement, nel rispetto di quanto previsto dall’articolo 35 del Codice e dalle vigenti disposizioni in materia di diritto di accesso ai documenti </w:t>
      </w:r>
      <w:r>
        <w:rPr>
          <w:rFonts w:ascii="Titillium" w:hAnsi="Titillium"/>
          <w:sz w:val="18"/>
          <w:szCs w:val="18"/>
        </w:rPr>
        <w:lastRenderedPageBreak/>
        <w:t>amministrativi, secondo le modalità indicate all’articolo 36 del codice.</w:t>
      </w:r>
    </w:p>
    <w:p w14:paraId="28AD5721" w14:textId="77777777" w:rsidR="00276DF7" w:rsidRDefault="00276DF7" w:rsidP="00276DF7">
      <w:pPr>
        <w:pStyle w:val="Titolo2"/>
        <w:numPr>
          <w:ilvl w:val="0"/>
          <w:numId w:val="27"/>
        </w:numPr>
        <w:shd w:val="clear" w:color="auto" w:fill="F2F2F2" w:themeFill="background1" w:themeFillShade="F2"/>
        <w:ind w:left="357" w:hanging="357"/>
      </w:pPr>
      <w:bookmarkStart w:id="3114" w:name="_Toc406058393"/>
      <w:bookmarkStart w:id="3115" w:name="_Toc403471285"/>
      <w:bookmarkStart w:id="3116" w:name="_Toc397422878"/>
      <w:bookmarkStart w:id="3117" w:name="_Toc397346837"/>
      <w:bookmarkStart w:id="3118" w:name="_Toc393706922"/>
      <w:bookmarkStart w:id="3119" w:name="_Toc393700849"/>
      <w:bookmarkStart w:id="3120" w:name="_Toc393283190"/>
      <w:bookmarkStart w:id="3121" w:name="_Toc393272674"/>
      <w:bookmarkStart w:id="3122" w:name="_Toc393272616"/>
      <w:bookmarkStart w:id="3123" w:name="_Toc393187860"/>
      <w:bookmarkStart w:id="3124" w:name="_Toc393112143"/>
      <w:bookmarkStart w:id="3125" w:name="_Toc393110579"/>
      <w:bookmarkStart w:id="3126" w:name="_Toc392577512"/>
      <w:bookmarkStart w:id="3127" w:name="_Toc391036071"/>
      <w:bookmarkStart w:id="3128" w:name="_Toc391035998"/>
      <w:bookmarkStart w:id="3129" w:name="_Toc380501885"/>
      <w:bookmarkStart w:id="3130" w:name="_Toc354038182"/>
      <w:bookmarkStart w:id="3131" w:name="_Toc416423377"/>
      <w:bookmarkStart w:id="3132" w:name="_Toc406754194"/>
      <w:bookmarkStart w:id="3133" w:name="_Toc139549459"/>
      <w:r>
        <w:rPr>
          <w:rFonts w:ascii="Titillium" w:hAnsi="Titillium"/>
          <w:sz w:val="18"/>
          <w:szCs w:val="18"/>
        </w:rPr>
        <w:t>DEFINIZIONE DELLE CONTROVERSIE</w:t>
      </w:r>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r>
        <w:rPr>
          <w:rFonts w:ascii="Titillium" w:hAnsi="Titillium"/>
          <w:sz w:val="18"/>
          <w:szCs w:val="18"/>
        </w:rPr>
        <w:t xml:space="preserve"> </w:t>
      </w:r>
    </w:p>
    <w:p w14:paraId="1CF44BC8" w14:textId="77777777" w:rsidR="00276DF7" w:rsidRDefault="00276DF7" w:rsidP="00276DF7">
      <w:pPr>
        <w:shd w:val="clear" w:color="auto" w:fill="F2F2F2" w:themeFill="background1" w:themeFillShade="F2"/>
        <w:spacing w:before="60" w:after="60"/>
      </w:pPr>
      <w:r>
        <w:rPr>
          <w:rFonts w:ascii="Titillium" w:hAnsi="Titillium"/>
          <w:sz w:val="18"/>
          <w:szCs w:val="18"/>
          <w:lang w:eastAsia="it-IT"/>
        </w:rPr>
        <w:t xml:space="preserve">Per le controversie derivanti dalla presente procedura di gara è competente il Tribunale Amministrativo di ... </w:t>
      </w:r>
      <w:r>
        <w:rPr>
          <w:rFonts w:ascii="Titillium" w:hAnsi="Titillium"/>
          <w:i/>
          <w:sz w:val="18"/>
          <w:szCs w:val="18"/>
          <w:lang w:eastAsia="it-IT"/>
        </w:rPr>
        <w:t>[indicare il Tribunale competente]</w:t>
      </w:r>
      <w:r>
        <w:t>.</w:t>
      </w:r>
    </w:p>
    <w:p w14:paraId="630BF35F" w14:textId="77777777" w:rsidR="00276DF7" w:rsidRDefault="00276DF7" w:rsidP="00276DF7">
      <w:pPr>
        <w:shd w:val="clear" w:color="auto" w:fill="F2F2F2" w:themeFill="background1" w:themeFillShade="F2"/>
        <w:spacing w:before="60" w:after="60"/>
        <w:rPr>
          <w:rFonts w:ascii="Titillium" w:hAnsi="Titillium"/>
          <w:sz w:val="18"/>
          <w:szCs w:val="18"/>
          <w:lang w:eastAsia="it-IT"/>
        </w:rPr>
      </w:pPr>
      <w:r w:rsidRPr="00AC0EF6">
        <w:rPr>
          <w:rFonts w:ascii="Titillium" w:hAnsi="Titillium"/>
          <w:b/>
          <w:i/>
          <w:sz w:val="18"/>
          <w:szCs w:val="18"/>
          <w:lang w:eastAsia="it-IT"/>
        </w:rPr>
        <w:t>[Facoltativo, nel caso in cui si voglia prevedere la clausola compromissoria ex articolo 2</w:t>
      </w:r>
      <w:r>
        <w:rPr>
          <w:rFonts w:ascii="Titillium" w:hAnsi="Titillium"/>
          <w:b/>
          <w:i/>
          <w:sz w:val="18"/>
          <w:szCs w:val="18"/>
          <w:lang w:eastAsia="it-IT"/>
        </w:rPr>
        <w:t>13</w:t>
      </w:r>
      <w:r w:rsidRPr="00AC0EF6">
        <w:rPr>
          <w:rFonts w:ascii="Titillium" w:hAnsi="Titillium"/>
          <w:b/>
          <w:i/>
          <w:sz w:val="18"/>
          <w:szCs w:val="18"/>
          <w:lang w:eastAsia="it-IT"/>
        </w:rPr>
        <w:t xml:space="preserve"> del Codice nel contratto]</w:t>
      </w:r>
      <w:r>
        <w:rPr>
          <w:rFonts w:ascii="Titillium" w:hAnsi="Titillium"/>
          <w:i/>
          <w:sz w:val="18"/>
          <w:szCs w:val="18"/>
          <w:lang w:eastAsia="it-IT"/>
        </w:rPr>
        <w:t xml:space="preserve"> </w:t>
      </w:r>
      <w:r>
        <w:rPr>
          <w:rFonts w:ascii="Titillium" w:hAnsi="Titillium"/>
          <w:sz w:val="18"/>
          <w:szCs w:val="18"/>
          <w:lang w:eastAsia="it-IT"/>
        </w:rPr>
        <w:t xml:space="preserve">Le controversie su diritti soggettivi, derivanti dall’esecuzione del contratto, comprese quelle conseguenti al mancato raggiungimento dell’accordo bonario di cui agli articoli 211 e 212 del Codice, sono risolte mediante arbitrato amministrativo dalla Camera arbitrale presso l’Autorità Nazionale Anticorruzione secondo gli articoli 213 e 214 del Codice. A tal fine il contratto contiene apposita clausola compromissoria, salvo rifiuto di quest’ultima da parte dell’aggiudicatario, da comunicare alla stazione appaltante entro venti giorni dalla conoscenza dell’aggiudicazione. Ai sensi dell’articolo 213, comma 3, del Codice, l’autorizzazione all’inserimento della clausola compromissoria è stata rilasciata con ... n. .... del .... </w:t>
      </w:r>
      <w:r>
        <w:rPr>
          <w:rFonts w:ascii="Titillium" w:hAnsi="Titillium"/>
          <w:i/>
          <w:sz w:val="18"/>
          <w:szCs w:val="18"/>
          <w:lang w:eastAsia="it-IT"/>
        </w:rPr>
        <w:t>[indicare il provvedimento, con numero e data, adottato dell’organo di governo, di autorizzazione all’inserimento della clausola compromissoria].</w:t>
      </w:r>
      <w:r>
        <w:rPr>
          <w:rFonts w:ascii="Titillium" w:hAnsi="Titillium"/>
          <w:sz w:val="18"/>
          <w:szCs w:val="18"/>
          <w:lang w:eastAsia="it-IT"/>
        </w:rPr>
        <w:t xml:space="preserve"> </w:t>
      </w:r>
    </w:p>
    <w:p w14:paraId="5C847ACC" w14:textId="77777777" w:rsidR="00276DF7" w:rsidRDefault="00276DF7" w:rsidP="00276DF7">
      <w:pPr>
        <w:shd w:val="clear" w:color="auto" w:fill="F2F2F2" w:themeFill="background1" w:themeFillShade="F2"/>
        <w:spacing w:before="60" w:after="60"/>
        <w:rPr>
          <w:rFonts w:ascii="Titillium" w:hAnsi="Titillium"/>
          <w:sz w:val="18"/>
          <w:szCs w:val="18"/>
          <w:lang w:eastAsia="it-IT"/>
        </w:rPr>
      </w:pPr>
      <w:r w:rsidRPr="009A6B8E">
        <w:rPr>
          <w:rFonts w:ascii="Titillium" w:hAnsi="Titillium"/>
          <w:b/>
          <w:bCs/>
          <w:i/>
          <w:iCs/>
          <w:sz w:val="18"/>
          <w:szCs w:val="18"/>
          <w:lang w:eastAsia="it-IT"/>
        </w:rPr>
        <w:t>[clausola obbligatoria per servizi e forniture superiori al milione di euro, facoltativa negli altri casi]</w:t>
      </w:r>
      <w:r>
        <w:rPr>
          <w:rFonts w:ascii="Titillium" w:hAnsi="Titillium"/>
          <w:sz w:val="18"/>
          <w:szCs w:val="18"/>
          <w:lang w:eastAsia="it-IT"/>
        </w:rPr>
        <w:t xml:space="preserve"> T</w:t>
      </w:r>
      <w:r w:rsidRPr="009A6B8E">
        <w:rPr>
          <w:rFonts w:ascii="Titillium" w:hAnsi="Titillium"/>
          <w:sz w:val="18"/>
          <w:szCs w:val="18"/>
          <w:lang w:eastAsia="it-IT"/>
        </w:rPr>
        <w:t>rova applicazione la</w:t>
      </w:r>
      <w:r>
        <w:rPr>
          <w:rFonts w:ascii="Titillium" w:hAnsi="Titillium"/>
          <w:sz w:val="18"/>
          <w:szCs w:val="18"/>
          <w:lang w:eastAsia="it-IT"/>
        </w:rPr>
        <w:t xml:space="preserve"> </w:t>
      </w:r>
      <w:r w:rsidRPr="009A6B8E">
        <w:rPr>
          <w:rFonts w:ascii="Titillium" w:hAnsi="Titillium"/>
          <w:sz w:val="18"/>
          <w:szCs w:val="18"/>
          <w:lang w:eastAsia="it-IT"/>
        </w:rPr>
        <w:t xml:space="preserve">disciplina di cui all’articolo </w:t>
      </w:r>
      <w:r>
        <w:rPr>
          <w:rFonts w:ascii="Titillium" w:hAnsi="Titillium"/>
          <w:sz w:val="18"/>
          <w:szCs w:val="18"/>
          <w:lang w:eastAsia="it-IT"/>
        </w:rPr>
        <w:t xml:space="preserve">215 del Codice relativamente al </w:t>
      </w:r>
      <w:r w:rsidRPr="009A6B8E">
        <w:rPr>
          <w:rFonts w:ascii="Titillium" w:hAnsi="Titillium"/>
          <w:sz w:val="18"/>
          <w:szCs w:val="18"/>
          <w:lang w:eastAsia="it-IT"/>
        </w:rPr>
        <w:t>collegio consultivo tecnico</w:t>
      </w:r>
      <w:r>
        <w:rPr>
          <w:rFonts w:ascii="Titillium" w:hAnsi="Titillium"/>
          <w:sz w:val="18"/>
          <w:szCs w:val="18"/>
          <w:lang w:eastAsia="it-IT"/>
        </w:rPr>
        <w:t xml:space="preserve"> </w:t>
      </w:r>
      <w:r w:rsidRPr="009A6B8E">
        <w:rPr>
          <w:rFonts w:ascii="Titillium" w:hAnsi="Titillium"/>
          <w:sz w:val="18"/>
          <w:szCs w:val="18"/>
          <w:lang w:eastAsia="it-IT"/>
        </w:rPr>
        <w:t>formato secondo le modalità di cui all’allegato V.2</w:t>
      </w:r>
      <w:r>
        <w:rPr>
          <w:rFonts w:ascii="Titillium" w:hAnsi="Titillium"/>
          <w:sz w:val="18"/>
          <w:szCs w:val="18"/>
          <w:lang w:eastAsia="it-IT"/>
        </w:rPr>
        <w:t xml:space="preserve"> del Codice, al fine di </w:t>
      </w:r>
      <w:r w:rsidRPr="009A6B8E">
        <w:rPr>
          <w:rFonts w:ascii="Titillium" w:hAnsi="Titillium"/>
          <w:sz w:val="18"/>
          <w:szCs w:val="18"/>
          <w:lang w:eastAsia="it-IT"/>
        </w:rPr>
        <w:t>prevenire le controversie o consentire la rapida risoluzione delle stesse o delle dispute tecniche di ogni</w:t>
      </w:r>
      <w:r>
        <w:rPr>
          <w:rFonts w:ascii="Titillium" w:hAnsi="Titillium"/>
          <w:sz w:val="18"/>
          <w:szCs w:val="18"/>
          <w:lang w:eastAsia="it-IT"/>
        </w:rPr>
        <w:t xml:space="preserve"> </w:t>
      </w:r>
      <w:r w:rsidRPr="009A6B8E">
        <w:rPr>
          <w:rFonts w:ascii="Titillium" w:hAnsi="Titillium"/>
          <w:sz w:val="18"/>
          <w:szCs w:val="18"/>
          <w:lang w:eastAsia="it-IT"/>
        </w:rPr>
        <w:t>natura che possano insorgere nell'esecuzione de</w:t>
      </w:r>
      <w:r>
        <w:rPr>
          <w:rFonts w:ascii="Titillium" w:hAnsi="Titillium"/>
          <w:sz w:val="18"/>
          <w:szCs w:val="18"/>
          <w:lang w:eastAsia="it-IT"/>
        </w:rPr>
        <w:t>l</w:t>
      </w:r>
      <w:r w:rsidRPr="009A6B8E">
        <w:rPr>
          <w:rFonts w:ascii="Titillium" w:hAnsi="Titillium"/>
          <w:sz w:val="18"/>
          <w:szCs w:val="18"/>
          <w:lang w:eastAsia="it-IT"/>
        </w:rPr>
        <w:t xml:space="preserve"> contratt</w:t>
      </w:r>
      <w:r>
        <w:rPr>
          <w:rFonts w:ascii="Titillium" w:hAnsi="Titillium"/>
          <w:sz w:val="18"/>
          <w:szCs w:val="18"/>
          <w:lang w:eastAsia="it-IT"/>
        </w:rPr>
        <w:t>o. I costi sono ripartiti tra le parti.</w:t>
      </w:r>
    </w:p>
    <w:p w14:paraId="6167C48A" w14:textId="77777777" w:rsidR="00276DF7" w:rsidRDefault="00276DF7" w:rsidP="00276DF7">
      <w:pPr>
        <w:shd w:val="clear" w:color="auto" w:fill="F2F2F2" w:themeFill="background1" w:themeFillShade="F2"/>
        <w:spacing w:before="60" w:after="60"/>
        <w:rPr>
          <w:rFonts w:ascii="Titillium" w:hAnsi="Titillium"/>
          <w:sz w:val="18"/>
          <w:szCs w:val="18"/>
          <w:lang w:eastAsia="it-IT"/>
        </w:rPr>
      </w:pPr>
      <w:r>
        <w:rPr>
          <w:rFonts w:ascii="Titillium" w:hAnsi="Titillium"/>
          <w:sz w:val="18"/>
          <w:szCs w:val="18"/>
          <w:lang w:eastAsia="it-IT"/>
        </w:rPr>
        <w:t xml:space="preserve">Il collegio è costituito da n. …. </w:t>
      </w:r>
      <w:r w:rsidRPr="009A6B8E">
        <w:rPr>
          <w:rFonts w:ascii="Titillium" w:hAnsi="Titillium"/>
          <w:i/>
          <w:iCs/>
          <w:sz w:val="18"/>
          <w:szCs w:val="18"/>
          <w:lang w:eastAsia="it-IT"/>
        </w:rPr>
        <w:t>[indicare il numero]</w:t>
      </w:r>
      <w:r>
        <w:rPr>
          <w:rFonts w:ascii="Titillium" w:hAnsi="Titillium"/>
          <w:sz w:val="18"/>
          <w:szCs w:val="18"/>
          <w:lang w:eastAsia="it-IT"/>
        </w:rPr>
        <w:t xml:space="preserve"> membri.</w:t>
      </w:r>
    </w:p>
    <w:p w14:paraId="64EBD991" w14:textId="77777777" w:rsidR="00276DF7" w:rsidRDefault="00276DF7" w:rsidP="00276DF7">
      <w:pPr>
        <w:shd w:val="clear" w:color="auto" w:fill="F2F2F2" w:themeFill="background1" w:themeFillShade="F2"/>
        <w:spacing w:before="60" w:after="60"/>
        <w:rPr>
          <w:rFonts w:ascii="Titillium" w:hAnsi="Titillium"/>
          <w:sz w:val="18"/>
          <w:szCs w:val="18"/>
          <w:lang w:eastAsia="it-IT"/>
        </w:rPr>
      </w:pPr>
    </w:p>
    <w:p w14:paraId="47067E0C" w14:textId="77777777" w:rsidR="00276DF7" w:rsidRDefault="00276DF7" w:rsidP="00276DF7">
      <w:pPr>
        <w:pStyle w:val="Titolo2"/>
        <w:numPr>
          <w:ilvl w:val="0"/>
          <w:numId w:val="27"/>
        </w:numPr>
        <w:shd w:val="clear" w:color="auto" w:fill="F2F2F2" w:themeFill="background1" w:themeFillShade="F2"/>
        <w:ind w:left="357" w:hanging="357"/>
        <w:rPr>
          <w:rFonts w:ascii="Titillium" w:hAnsi="Titillium"/>
          <w:sz w:val="18"/>
          <w:szCs w:val="18"/>
        </w:rPr>
      </w:pPr>
      <w:bookmarkStart w:id="3134" w:name="_Toc406058394"/>
      <w:bookmarkStart w:id="3135" w:name="_Toc403471286"/>
      <w:bookmarkStart w:id="3136" w:name="_Toc397422879"/>
      <w:bookmarkStart w:id="3137" w:name="_Toc397346838"/>
      <w:bookmarkStart w:id="3138" w:name="_Toc393706923"/>
      <w:bookmarkStart w:id="3139" w:name="_Toc393700850"/>
      <w:bookmarkStart w:id="3140" w:name="_Toc393283191"/>
      <w:bookmarkStart w:id="3141" w:name="_Toc393272675"/>
      <w:bookmarkStart w:id="3142" w:name="_Toc393272617"/>
      <w:bookmarkStart w:id="3143" w:name="_Toc393187861"/>
      <w:bookmarkStart w:id="3144" w:name="_Toc393112144"/>
      <w:bookmarkStart w:id="3145" w:name="_Toc393110580"/>
      <w:bookmarkStart w:id="3146" w:name="_Toc392577513"/>
      <w:bookmarkStart w:id="3147" w:name="_Toc391036072"/>
      <w:bookmarkStart w:id="3148" w:name="_Toc391035999"/>
      <w:bookmarkStart w:id="3149" w:name="_Toc380501886"/>
      <w:bookmarkStart w:id="3150" w:name="_Toc354038183"/>
      <w:bookmarkStart w:id="3151" w:name="_Toc416423378"/>
      <w:bookmarkStart w:id="3152" w:name="_Toc406754195"/>
      <w:bookmarkStart w:id="3153" w:name="_Ref132066072"/>
      <w:bookmarkStart w:id="3154" w:name="_Toc139549460"/>
      <w:r>
        <w:rPr>
          <w:rFonts w:ascii="Titillium" w:hAnsi="Titillium"/>
          <w:sz w:val="18"/>
          <w:szCs w:val="18"/>
        </w:rPr>
        <w:t>TRATTAMENTO DEI DATI PERSONALI</w:t>
      </w:r>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p>
    <w:p w14:paraId="5F1E5B30" w14:textId="77777777" w:rsidR="00276DF7" w:rsidRDefault="00276DF7" w:rsidP="00276DF7">
      <w:pPr>
        <w:shd w:val="clear" w:color="auto" w:fill="F2F2F2" w:themeFill="background1" w:themeFillShade="F2"/>
        <w:spacing w:before="60" w:after="60"/>
        <w:rPr>
          <w:rFonts w:ascii="Titillium" w:hAnsi="Titillium" w:cs="Calibri"/>
          <w:sz w:val="18"/>
          <w:szCs w:val="18"/>
          <w:lang w:eastAsia="it-IT"/>
        </w:rPr>
      </w:pPr>
      <w:r>
        <w:rPr>
          <w:rFonts w:ascii="Titillium" w:hAnsi="Titillium" w:cs="Calibri"/>
          <w:sz w:val="18"/>
          <w:szCs w:val="18"/>
          <w:lang w:eastAsia="it-IT"/>
        </w:rPr>
        <w:t>I dati raccolti sono trattati e conservati ai sensi del Regolamento UE n. 2016/679 relativo alla protezione delle persone fisiche con riguardo al trattamento dei dati personali, nonché alla libera circolazione di tali dati, del d</w:t>
      </w:r>
      <w:r w:rsidRPr="00172914">
        <w:rPr>
          <w:rFonts w:ascii="Titillium" w:hAnsi="Titillium" w:cs="Calibri"/>
          <w:sz w:val="18"/>
          <w:szCs w:val="18"/>
          <w:lang w:eastAsia="it-IT"/>
        </w:rPr>
        <w:t>ecreto legislativo 30</w:t>
      </w:r>
      <w:r>
        <w:rPr>
          <w:rFonts w:ascii="Titillium" w:hAnsi="Titillium" w:cs="Calibri"/>
          <w:sz w:val="18"/>
          <w:szCs w:val="18"/>
          <w:lang w:eastAsia="it-IT"/>
        </w:rPr>
        <w:t xml:space="preserve"> </w:t>
      </w:r>
      <w:r w:rsidRPr="00172914">
        <w:rPr>
          <w:rFonts w:ascii="Titillium" w:hAnsi="Titillium" w:cs="Calibri"/>
          <w:sz w:val="18"/>
          <w:szCs w:val="18"/>
          <w:lang w:eastAsia="it-IT"/>
        </w:rPr>
        <w:t>giugno 2003, n.196</w:t>
      </w:r>
      <w:r>
        <w:rPr>
          <w:rFonts w:ascii="Titillium" w:hAnsi="Titillium" w:cs="Calibri"/>
          <w:sz w:val="18"/>
          <w:szCs w:val="18"/>
          <w:lang w:eastAsia="it-IT"/>
        </w:rPr>
        <w:t xml:space="preserve"> </w:t>
      </w:r>
      <w:r w:rsidRPr="00172914">
        <w:rPr>
          <w:rFonts w:ascii="Titillium" w:hAnsi="Titillium" w:cs="Calibri"/>
          <w:sz w:val="18"/>
          <w:szCs w:val="18"/>
          <w:lang w:eastAsia="it-IT"/>
        </w:rPr>
        <w:t>recante il “</w:t>
      </w:r>
      <w:r>
        <w:rPr>
          <w:rFonts w:ascii="Titillium" w:hAnsi="Titillium" w:cs="Calibri"/>
          <w:sz w:val="18"/>
          <w:szCs w:val="18"/>
          <w:lang w:eastAsia="it-IT"/>
        </w:rPr>
        <w:t>C</w:t>
      </w:r>
      <w:r w:rsidRPr="00172914">
        <w:rPr>
          <w:rFonts w:ascii="Titillium" w:hAnsi="Titillium" w:cs="Calibri"/>
          <w:sz w:val="18"/>
          <w:szCs w:val="18"/>
          <w:lang w:eastAsia="it-IT"/>
        </w:rPr>
        <w:t>odice in materia di protezione dei dati personali</w:t>
      </w:r>
      <w:r>
        <w:rPr>
          <w:rFonts w:ascii="Titillium" w:hAnsi="Titillium" w:cs="Calibri"/>
          <w:sz w:val="18"/>
          <w:szCs w:val="18"/>
          <w:lang w:eastAsia="it-IT"/>
        </w:rPr>
        <w:t>” e ss mm e ii , del decreto della Presidenza del Consiglio dei Ministri n. 148/21 e dei relativi atti di attuazione. In particolare</w:t>
      </w:r>
      <w:r w:rsidRPr="0088581F">
        <w:t xml:space="preserve"> </w:t>
      </w:r>
      <w:r>
        <w:rPr>
          <w:rFonts w:ascii="Titillium" w:hAnsi="Titillium" w:cs="Calibri"/>
          <w:sz w:val="18"/>
          <w:szCs w:val="18"/>
          <w:lang w:eastAsia="it-IT"/>
        </w:rPr>
        <w:t>si forniscono le seguenti informazioni sul trattamento dei dati personali</w:t>
      </w:r>
      <w:r>
        <w:t xml:space="preserve"> … </w:t>
      </w:r>
      <w:r w:rsidRPr="007B03F4">
        <w:rPr>
          <w:i/>
        </w:rPr>
        <w:t>[</w:t>
      </w:r>
      <w:r w:rsidRPr="007B03F4">
        <w:rPr>
          <w:rFonts w:ascii="Titillium" w:hAnsi="Titillium" w:cs="Calibri"/>
          <w:i/>
          <w:sz w:val="18"/>
          <w:szCs w:val="18"/>
          <w:lang w:eastAsia="it-IT"/>
        </w:rPr>
        <w:t xml:space="preserve">indicare le informazioni sul trattamento dei dati personali dovute in considerazione delle specificità del singolo appalto, della stazione appaltante, dei suoi rapporti con il gestore della piattaforma, delle caratteristiche tecniche della piattaforma utilizzata. Tali informazioni devono riguardare, in particolare: a) la finalità del trattamento; b) la base giuridica e natura del conferimento dei dati; c) </w:t>
      </w:r>
      <w:r>
        <w:rPr>
          <w:rFonts w:ascii="Titillium" w:hAnsi="Titillium" w:cs="Calibri"/>
          <w:i/>
          <w:sz w:val="18"/>
          <w:szCs w:val="18"/>
          <w:lang w:eastAsia="it-IT"/>
        </w:rPr>
        <w:t xml:space="preserve">la </w:t>
      </w:r>
      <w:r w:rsidRPr="007B03F4">
        <w:rPr>
          <w:rFonts w:ascii="Titillium" w:hAnsi="Titillium" w:cs="Calibri"/>
          <w:i/>
          <w:sz w:val="18"/>
          <w:szCs w:val="18"/>
          <w:lang w:eastAsia="it-IT"/>
        </w:rPr>
        <w:t xml:space="preserve">natura dei dati trattati; d) </w:t>
      </w:r>
      <w:r>
        <w:rPr>
          <w:rFonts w:ascii="Titillium" w:hAnsi="Titillium" w:cs="Calibri"/>
          <w:i/>
          <w:sz w:val="18"/>
          <w:szCs w:val="18"/>
          <w:lang w:eastAsia="it-IT"/>
        </w:rPr>
        <w:t xml:space="preserve">le </w:t>
      </w:r>
      <w:r w:rsidRPr="007B03F4">
        <w:rPr>
          <w:rFonts w:ascii="Titillium" w:hAnsi="Titillium" w:cs="Calibri"/>
          <w:i/>
          <w:sz w:val="18"/>
          <w:szCs w:val="18"/>
          <w:lang w:eastAsia="it-IT"/>
        </w:rPr>
        <w:t xml:space="preserve">modalità del trattamento dei dati; e) </w:t>
      </w:r>
      <w:r>
        <w:rPr>
          <w:rFonts w:ascii="Titillium" w:hAnsi="Titillium" w:cs="Calibri"/>
          <w:i/>
          <w:sz w:val="18"/>
          <w:szCs w:val="18"/>
          <w:lang w:eastAsia="it-IT"/>
        </w:rPr>
        <w:t>l’</w:t>
      </w:r>
      <w:r w:rsidRPr="007B03F4">
        <w:rPr>
          <w:rFonts w:ascii="Titillium" w:hAnsi="Titillium" w:cs="Calibri"/>
          <w:i/>
          <w:sz w:val="18"/>
          <w:szCs w:val="18"/>
          <w:lang w:eastAsia="it-IT"/>
        </w:rPr>
        <w:t xml:space="preserve">ambito di comunicazione e di diffusione dei dati; f) </w:t>
      </w:r>
      <w:r>
        <w:rPr>
          <w:rFonts w:ascii="Titillium" w:hAnsi="Titillium" w:cs="Calibri"/>
          <w:i/>
          <w:sz w:val="18"/>
          <w:szCs w:val="18"/>
          <w:lang w:eastAsia="it-IT"/>
        </w:rPr>
        <w:t>l’</w:t>
      </w:r>
      <w:r w:rsidRPr="007B03F4">
        <w:rPr>
          <w:rFonts w:ascii="Titillium" w:hAnsi="Titillium" w:cs="Calibri"/>
          <w:i/>
          <w:sz w:val="18"/>
          <w:szCs w:val="18"/>
          <w:lang w:eastAsia="it-IT"/>
        </w:rPr>
        <w:t xml:space="preserve">ambito di comunicazione e di diffusione dei dati; g) periodo di conservazione dei dati; h) </w:t>
      </w:r>
      <w:r>
        <w:rPr>
          <w:rFonts w:ascii="Titillium" w:hAnsi="Titillium" w:cs="Calibri"/>
          <w:i/>
          <w:sz w:val="18"/>
          <w:szCs w:val="18"/>
          <w:lang w:eastAsia="it-IT"/>
        </w:rPr>
        <w:t xml:space="preserve">i </w:t>
      </w:r>
      <w:r w:rsidRPr="007B03F4">
        <w:rPr>
          <w:rFonts w:ascii="Titillium" w:hAnsi="Titillium" w:cs="Calibri"/>
          <w:i/>
          <w:sz w:val="18"/>
          <w:szCs w:val="18"/>
          <w:lang w:eastAsia="it-IT"/>
        </w:rPr>
        <w:t xml:space="preserve">diritti del concorrente/interessato; i) </w:t>
      </w:r>
      <w:r>
        <w:rPr>
          <w:rFonts w:ascii="Titillium" w:hAnsi="Titillium" w:cs="Calibri"/>
          <w:i/>
          <w:sz w:val="18"/>
          <w:szCs w:val="18"/>
          <w:lang w:eastAsia="it-IT"/>
        </w:rPr>
        <w:t xml:space="preserve">il </w:t>
      </w:r>
      <w:r w:rsidRPr="007B03F4">
        <w:rPr>
          <w:rFonts w:ascii="Titillium" w:hAnsi="Titillium" w:cs="Calibri"/>
          <w:i/>
          <w:sz w:val="18"/>
          <w:szCs w:val="18"/>
          <w:lang w:eastAsia="it-IT"/>
        </w:rPr>
        <w:t>titolare del trattamento e responsabile della protezione dei dati]</w:t>
      </w:r>
      <w:r>
        <w:rPr>
          <w:rFonts w:ascii="Titillium" w:hAnsi="Titillium" w:cs="Calibri"/>
          <w:sz w:val="18"/>
          <w:szCs w:val="18"/>
          <w:lang w:eastAsia="it-IT"/>
        </w:rPr>
        <w:t>.</w:t>
      </w:r>
    </w:p>
    <w:p w14:paraId="2A9D2F8F" w14:textId="77777777" w:rsidR="00276DF7" w:rsidRPr="00FE096F" w:rsidRDefault="00276DF7" w:rsidP="00276DF7">
      <w:pPr>
        <w:shd w:val="clear" w:color="auto" w:fill="F2F2F2" w:themeFill="background1" w:themeFillShade="F2"/>
        <w:spacing w:before="60" w:after="60"/>
        <w:rPr>
          <w:rFonts w:ascii="Titillium" w:hAnsi="Titillium" w:cs="Calibri"/>
          <w:sz w:val="18"/>
          <w:szCs w:val="18"/>
          <w:lang w:eastAsia="it-IT"/>
        </w:rPr>
      </w:pPr>
      <w:r w:rsidRPr="00AC0EF6">
        <w:rPr>
          <w:rFonts w:ascii="Titillium" w:hAnsi="Titillium" w:cs="Calibri"/>
          <w:b/>
          <w:i/>
          <w:sz w:val="18"/>
          <w:szCs w:val="18"/>
          <w:lang w:eastAsia="it-IT"/>
        </w:rPr>
        <w:t>[In alternativa]</w:t>
      </w:r>
      <w:r>
        <w:rPr>
          <w:rFonts w:ascii="Titillium" w:hAnsi="Titillium" w:cs="Calibri"/>
          <w:b/>
          <w:sz w:val="18"/>
          <w:szCs w:val="18"/>
          <w:lang w:eastAsia="it-IT"/>
        </w:rPr>
        <w:t xml:space="preserve"> </w:t>
      </w:r>
      <w:r w:rsidRPr="00DE507E">
        <w:rPr>
          <w:rFonts w:ascii="Titillium" w:hAnsi="Titillium" w:cs="Calibri"/>
          <w:sz w:val="18"/>
          <w:szCs w:val="18"/>
          <w:lang w:eastAsia="it-IT"/>
        </w:rPr>
        <w:t>I dati raccolti sono trattati e conservati ai sensi del Regolamento UE n.</w:t>
      </w:r>
      <w:r>
        <w:rPr>
          <w:rFonts w:ascii="Titillium" w:hAnsi="Titillium" w:cs="Calibri"/>
          <w:sz w:val="18"/>
          <w:szCs w:val="18"/>
          <w:lang w:eastAsia="it-IT"/>
        </w:rPr>
        <w:t xml:space="preserve"> </w:t>
      </w:r>
      <w:r w:rsidRPr="00DE507E">
        <w:rPr>
          <w:rFonts w:ascii="Titillium" w:hAnsi="Titillium" w:cs="Calibri"/>
          <w:sz w:val="18"/>
          <w:szCs w:val="18"/>
          <w:lang w:eastAsia="it-IT"/>
        </w:rPr>
        <w:t>2016/679 relativo alla protezione delle persone fisiche con riguardo al trattamento dei dati personali, nonché alla libera circolazione di tali dati</w:t>
      </w:r>
      <w:r>
        <w:rPr>
          <w:rFonts w:ascii="Titillium" w:hAnsi="Titillium" w:cs="Calibri"/>
          <w:sz w:val="18"/>
          <w:szCs w:val="18"/>
          <w:lang w:eastAsia="it-IT"/>
        </w:rPr>
        <w:t xml:space="preserve">, del </w:t>
      </w:r>
      <w:r w:rsidRPr="00DE507E">
        <w:rPr>
          <w:rFonts w:ascii="Titillium" w:hAnsi="Titillium" w:cs="Calibri"/>
          <w:sz w:val="18"/>
          <w:szCs w:val="18"/>
          <w:lang w:eastAsia="it-IT"/>
        </w:rPr>
        <w:t>decreto legislativo 30 giugno 2003, n.</w:t>
      </w:r>
      <w:r>
        <w:rPr>
          <w:rFonts w:ascii="Titillium" w:hAnsi="Titillium" w:cs="Calibri"/>
          <w:sz w:val="18"/>
          <w:szCs w:val="18"/>
          <w:lang w:eastAsia="it-IT"/>
        </w:rPr>
        <w:t xml:space="preserve"> </w:t>
      </w:r>
      <w:r w:rsidRPr="00DE507E">
        <w:rPr>
          <w:rFonts w:ascii="Titillium" w:hAnsi="Titillium" w:cs="Calibri"/>
          <w:sz w:val="18"/>
          <w:szCs w:val="18"/>
          <w:lang w:eastAsia="it-IT"/>
        </w:rPr>
        <w:t>196 recante il “Codice in materia di protezione dei dati personali” e ss mm e ii</w:t>
      </w:r>
      <w:r>
        <w:rPr>
          <w:rFonts w:ascii="Titillium" w:hAnsi="Titillium" w:cs="Calibri"/>
          <w:sz w:val="18"/>
          <w:szCs w:val="18"/>
          <w:lang w:eastAsia="it-IT"/>
        </w:rPr>
        <w:t xml:space="preserve">, </w:t>
      </w:r>
      <w:r w:rsidRPr="00DE507E">
        <w:rPr>
          <w:rFonts w:ascii="Titillium" w:hAnsi="Titillium" w:cs="Calibri"/>
          <w:sz w:val="18"/>
          <w:szCs w:val="18"/>
          <w:lang w:eastAsia="it-IT"/>
        </w:rPr>
        <w:t>del decreto della Presidenza del Consiglio dei Ministri n. 148/21 e dei relativi atti di attuazione</w:t>
      </w:r>
      <w:r>
        <w:rPr>
          <w:rFonts w:ascii="Titillium" w:hAnsi="Titillium" w:cs="Calibri"/>
          <w:sz w:val="18"/>
          <w:szCs w:val="18"/>
          <w:lang w:eastAsia="it-IT"/>
        </w:rPr>
        <w:t xml:space="preserve"> secondo quanto riportato nell’apposita scheda informativa allegata alla documentazione di gara sub … </w:t>
      </w:r>
      <w:r w:rsidRPr="00FE096F">
        <w:rPr>
          <w:rFonts w:ascii="Titillium" w:hAnsi="Titillium" w:cs="Calibri"/>
          <w:i/>
          <w:sz w:val="18"/>
          <w:szCs w:val="18"/>
          <w:lang w:eastAsia="it-IT"/>
        </w:rPr>
        <w:t>[indicare il numero dell’allegato]</w:t>
      </w:r>
      <w:r>
        <w:rPr>
          <w:rFonts w:ascii="Titillium" w:hAnsi="Titillium" w:cs="Calibri"/>
          <w:i/>
          <w:sz w:val="18"/>
          <w:szCs w:val="18"/>
          <w:lang w:eastAsia="it-IT"/>
        </w:rPr>
        <w:t>.</w:t>
      </w:r>
    </w:p>
    <w:p w14:paraId="6B3642BC" w14:textId="77777777" w:rsidR="00276DF7" w:rsidRPr="00A177B3" w:rsidRDefault="00276DF7" w:rsidP="00276DF7">
      <w:pPr>
        <w:shd w:val="clear" w:color="auto" w:fill="F2F2F2" w:themeFill="background1" w:themeFillShade="F2"/>
        <w:spacing w:before="60" w:after="60"/>
        <w:rPr>
          <w:rFonts w:ascii="Titillium" w:hAnsi="Titillium" w:cs="Calibri"/>
          <w:sz w:val="18"/>
          <w:szCs w:val="18"/>
          <w:lang w:eastAsia="it-IT"/>
        </w:rPr>
      </w:pPr>
    </w:p>
    <w:tbl>
      <w:tblPr>
        <w:tblW w:w="9210" w:type="dxa"/>
        <w:tblInd w:w="-108" w:type="dxa"/>
        <w:tblLook w:val="04A0" w:firstRow="1" w:lastRow="0" w:firstColumn="1" w:lastColumn="0" w:noHBand="0" w:noVBand="1"/>
      </w:tblPr>
      <w:tblGrid>
        <w:gridCol w:w="9210"/>
      </w:tblGrid>
      <w:tr w:rsidR="00276DF7" w14:paraId="0CF430A7" w14:textId="77777777" w:rsidTr="00EA5131">
        <w:tc>
          <w:tcPr>
            <w:tcW w:w="9210" w:type="dxa"/>
            <w:tcBorders>
              <w:top w:val="single" w:sz="4" w:space="0" w:color="000000"/>
              <w:left w:val="single" w:sz="4" w:space="0" w:color="000000"/>
              <w:bottom w:val="single" w:sz="4" w:space="0" w:color="000000"/>
              <w:right w:val="single" w:sz="4" w:space="0" w:color="000000"/>
            </w:tcBorders>
          </w:tcPr>
          <w:p w14:paraId="1BAB1292" w14:textId="77777777" w:rsidR="00276DF7" w:rsidRDefault="00276DF7" w:rsidP="00276DF7">
            <w:pPr>
              <w:shd w:val="clear" w:color="auto" w:fill="F2F2F2" w:themeFill="background1" w:themeFillShade="F2"/>
              <w:spacing w:before="60" w:after="60"/>
              <w:rPr>
                <w:rFonts w:ascii="Titillium" w:hAnsi="Titillium" w:cs="Calibri"/>
                <w:i/>
                <w:sz w:val="18"/>
                <w:szCs w:val="18"/>
              </w:rPr>
            </w:pPr>
            <w:r>
              <w:rPr>
                <w:rFonts w:ascii="Titillium" w:hAnsi="Titillium" w:cs="Calibri"/>
                <w:i/>
                <w:sz w:val="18"/>
                <w:szCs w:val="18"/>
              </w:rPr>
              <w:t xml:space="preserve">N.B. La stazione appaltante predispone la clausola in base agli indirizzi adottati al proprio interno per l’attuazione della normativa sulla privacy. </w:t>
            </w:r>
          </w:p>
        </w:tc>
      </w:tr>
    </w:tbl>
    <w:p w14:paraId="4989104D" w14:textId="77777777" w:rsidR="00392637" w:rsidRDefault="00392637" w:rsidP="00392637"/>
    <w:p w14:paraId="2A4347AB" w14:textId="36D52D58" w:rsidR="00392637" w:rsidRDefault="004312BF" w:rsidP="00392637">
      <w:r w:rsidRPr="00276DF7">
        <w:rPr>
          <w:b/>
          <w:bCs/>
        </w:rPr>
        <w:t>PUBBLICAZIONE A LIVELLO EUROPE</w:t>
      </w:r>
      <w:r>
        <w:rPr>
          <w:b/>
          <w:bCs/>
        </w:rPr>
        <w:t>O</w:t>
      </w:r>
    </w:p>
    <w:p w14:paraId="31F659B9" w14:textId="77777777" w:rsidR="004312BF" w:rsidRDefault="00276DF7" w:rsidP="00392637">
      <w:r>
        <w:t>L’articolo 84 del codice specifica che i</w:t>
      </w:r>
      <w:r w:rsidR="00392637">
        <w:t xml:space="preserve"> bandi, gli avvisi di pre-informazione e gli avvisi relativi agli appalti aggiudicati di importo pari o superiore alle soglie di cui all’articolo 14 sono redatti dalle stazioni appaltanti e trasmessi all'Ufficio delle pubblicazioni dell'Unione europea, per il tramite della Banca dati nazionale dei contratti pubblici, secondo modalità conformi all'allegato II.7. </w:t>
      </w:r>
    </w:p>
    <w:p w14:paraId="7D1B646B" w14:textId="05B9A270" w:rsidR="004312BF" w:rsidRDefault="004312BF" w:rsidP="004312BF">
      <w:pPr>
        <w:shd w:val="clear" w:color="auto" w:fill="F2F2F2" w:themeFill="background1" w:themeFillShade="F2"/>
      </w:pPr>
      <w:r>
        <w:lastRenderedPageBreak/>
        <w:t>PER APPROFONDIRE</w:t>
      </w:r>
    </w:p>
    <w:p w14:paraId="7215E135" w14:textId="77777777" w:rsidR="004312BF" w:rsidRDefault="004312BF" w:rsidP="004312BF">
      <w:pPr>
        <w:shd w:val="clear" w:color="auto" w:fill="F2F2F2"/>
      </w:pPr>
      <w:r>
        <w:t>ALLEGATO II.7 - Caratteristiche relative alla pubblicazione (Articolo 84, comma 1)</w:t>
      </w:r>
    </w:p>
    <w:p w14:paraId="4C6D91AF" w14:textId="77777777" w:rsidR="004312BF" w:rsidRDefault="004312BF" w:rsidP="004312BF">
      <w:pPr>
        <w:shd w:val="clear" w:color="auto" w:fill="F2F2F2"/>
      </w:pPr>
    </w:p>
    <w:p w14:paraId="227AC1EA" w14:textId="77777777" w:rsidR="004312BF" w:rsidRDefault="004312BF" w:rsidP="004312BF">
      <w:pPr>
        <w:shd w:val="clear" w:color="auto" w:fill="F2F2F2"/>
      </w:pPr>
      <w:r>
        <w:t>1. Pubblicazione degli avvisi e dei bandi: I bandi e gli avvisi di cui agli articoli 46, 81, 82, 111, 128, 161, 162, 163 e 164 del codice devono essere trasmessi dalle stazioni e dagli enti concedenti all'Ufficio</w:t>
      </w:r>
    </w:p>
    <w:p w14:paraId="5A6DF198" w14:textId="77777777" w:rsidR="004312BF" w:rsidRDefault="004312BF" w:rsidP="004312BF">
      <w:pPr>
        <w:shd w:val="clear" w:color="auto" w:fill="F2F2F2"/>
      </w:pPr>
      <w:r>
        <w:t>delle pubblicazioni dell'Unione europea, per il tramite della Banca dati nazionale dei contratti pubblici di cui all’articolo 23 del codice, e pubblicati conformemente alle seguenti regole:</w:t>
      </w:r>
    </w:p>
    <w:p w14:paraId="46DA27EA" w14:textId="77777777" w:rsidR="004312BF" w:rsidRDefault="004312BF" w:rsidP="004312BF">
      <w:pPr>
        <w:shd w:val="clear" w:color="auto" w:fill="F2F2F2"/>
      </w:pPr>
    </w:p>
    <w:p w14:paraId="3A3A11BA" w14:textId="77777777" w:rsidR="004312BF" w:rsidRDefault="004312BF" w:rsidP="004312BF">
      <w:pPr>
        <w:shd w:val="clear" w:color="auto" w:fill="F2F2F2"/>
      </w:pPr>
      <w:r>
        <w:t>a) i bandi e gli avvisi di cui agli articoli 46, 81, 82, 111, 128 e 161, 162, 163 e 164 del codice sono pubblicati dall'Ufficio delle pubblicazioni ufficiali dell'Unione europea o dalle stazioni appaltanti e dagli enti concedenti qualora si tratti di avvisi periodici indicativi pubblicati nel profilo di committente ai sensi degli articolo 81 e articolo 161, comma 1, del codice. Inoltre, le stazioni appaltanti e gli enti concedenti possono divulgare tali informazioni tramite Internet, pubblicandole nel loro sito istituzionale come specificato al punto 2, lettera b);</w:t>
      </w:r>
    </w:p>
    <w:p w14:paraId="60C6DE9D" w14:textId="77777777" w:rsidR="004312BF" w:rsidRDefault="004312BF" w:rsidP="004312BF">
      <w:pPr>
        <w:shd w:val="clear" w:color="auto" w:fill="F2F2F2"/>
      </w:pPr>
      <w:r>
        <w:t>b) l'Ufficio delle pubblicazioni ufficiali dell'Unione europea conferma alla stazione appaltante o all’ente concedente la pubblicazione di cui all'articolo 84 del codice.</w:t>
      </w:r>
    </w:p>
    <w:p w14:paraId="48572944" w14:textId="77777777" w:rsidR="004312BF" w:rsidRDefault="004312BF" w:rsidP="004312BF">
      <w:pPr>
        <w:shd w:val="clear" w:color="auto" w:fill="F2F2F2"/>
      </w:pPr>
    </w:p>
    <w:p w14:paraId="52D6F5AF" w14:textId="77777777" w:rsidR="004312BF" w:rsidRDefault="004312BF" w:rsidP="004312BF">
      <w:pPr>
        <w:shd w:val="clear" w:color="auto" w:fill="F2F2F2"/>
      </w:pPr>
      <w:r>
        <w:t>2. Pubblicazione di informazioni complementari o aggiuntive:</w:t>
      </w:r>
    </w:p>
    <w:p w14:paraId="1B9C2E91" w14:textId="77777777" w:rsidR="004312BF" w:rsidRDefault="004312BF" w:rsidP="004312BF">
      <w:pPr>
        <w:shd w:val="clear" w:color="auto" w:fill="F2F2F2"/>
      </w:pPr>
    </w:p>
    <w:p w14:paraId="51B32B0B" w14:textId="77777777" w:rsidR="004312BF" w:rsidRDefault="004312BF" w:rsidP="004312BF">
      <w:pPr>
        <w:shd w:val="clear" w:color="auto" w:fill="F2F2F2"/>
      </w:pPr>
      <w:r>
        <w:t>a) salvo se altrimenti disposto dall'articolo 88 del codice, le stazioni appaltanti e gli enti concedenti pubblicano integralmente i documenti di gara sul proprio sito istituzionale;</w:t>
      </w:r>
    </w:p>
    <w:p w14:paraId="618731F1" w14:textId="77777777" w:rsidR="004312BF" w:rsidRDefault="004312BF" w:rsidP="004312BF">
      <w:pPr>
        <w:shd w:val="clear" w:color="auto" w:fill="F2F2F2"/>
      </w:pPr>
      <w:r>
        <w:t>b) il sito istituzionale può contenere: avvisi di pre-informazione di cui all’articolo 81 del codice, ovvero periodici, di cui all'articolo 161, comma 1, del codice, informazioni sugli inviti a presentare offerte in corso, sugli acquisti programmati, sui contratti conclusi, sulle procedure annullate, nonché ogni altra utile informazione come punti di contatto, numeri telefonici e di fax, indirizzi postali ed elettronici (posta elettronica). Il sito istituzionale può includere altresì avvisi di pre-informazione ovvero avvisi periodici indicativi utilizzati come mezzo di indizione di gara, pubblicati a livello nazionale a norma degli articoli 84 e 164 del codice.</w:t>
      </w:r>
    </w:p>
    <w:p w14:paraId="1A93C870" w14:textId="77777777" w:rsidR="004312BF" w:rsidRDefault="004312BF" w:rsidP="004312BF">
      <w:pPr>
        <w:shd w:val="clear" w:color="auto" w:fill="F2F2F2"/>
      </w:pPr>
    </w:p>
    <w:p w14:paraId="327D3B04" w14:textId="77777777" w:rsidR="004312BF" w:rsidRDefault="004312BF" w:rsidP="004312BF">
      <w:pPr>
        <w:shd w:val="clear" w:color="auto" w:fill="F2F2F2"/>
      </w:pPr>
      <w:r>
        <w:t>3. Formato e modalità di trasmissione degli avvisi e dei bandi per via elettronica:</w:t>
      </w:r>
    </w:p>
    <w:p w14:paraId="4076E4D1" w14:textId="094DE97D" w:rsidR="004312BF" w:rsidRDefault="004312BF" w:rsidP="004312BF">
      <w:pPr>
        <w:shd w:val="clear" w:color="auto" w:fill="F2F2F2" w:themeFill="background1" w:themeFillShade="F2"/>
      </w:pPr>
      <w:r>
        <w:t>il formato e le modalità stabilite dalla Commissione per la trasmissione degli avvisi e dei bandi per via elettronica sono accessibili all'indirizzo Internet: http://simap.eu.int.</w:t>
      </w:r>
    </w:p>
    <w:p w14:paraId="06144D19" w14:textId="377506B4" w:rsidR="004312BF" w:rsidRDefault="004312BF" w:rsidP="00392637">
      <w:r>
        <w:t>(</w:t>
      </w:r>
      <w:r>
        <w:t>In sede di prima applicazione del codice, l’allegato II.7 è abrogato a decorrere dalla data di entrata in vigore di un corrispondente regolamento adottato ai sensi dell’articolo 17, comma 3, della legge 23 agosto 1988, n. 400, con decreto del Ministro delle infrastrutture e dei trasporti, che lo sostituisce integralmente anche in qualità di allegato al codice</w:t>
      </w:r>
      <w:r>
        <w:t>).</w:t>
      </w:r>
    </w:p>
    <w:p w14:paraId="00EC6837" w14:textId="544B4EED" w:rsidR="00392637" w:rsidRDefault="00392637" w:rsidP="00392637">
      <w:r>
        <w:t>La conferma da parte d</w:t>
      </w:r>
      <w:r w:rsidR="004312BF">
        <w:t>ell’</w:t>
      </w:r>
      <w:r>
        <w:t>Ufficio</w:t>
      </w:r>
      <w:r w:rsidR="004312BF">
        <w:t xml:space="preserve"> </w:t>
      </w:r>
      <w:r w:rsidR="004312BF">
        <w:t>delle pubblicazioni dell'Unione europea</w:t>
      </w:r>
      <w:r>
        <w:t xml:space="preserve"> della ricezione e dell’avviso della pubblicazione trasmessa, con l’indicazione della data della pubblicazione, vale come prova della pubblicazione..</w:t>
      </w:r>
    </w:p>
    <w:p w14:paraId="698EFC09" w14:textId="4B79EE41" w:rsidR="00392637" w:rsidRDefault="00392637" w:rsidP="00392637">
      <w:r>
        <w:t>I bandi e gli avvisi sono pubblicati per esteso in lingua italiana, fatte salve le norme vigenti nella Provincia autonoma di Bolzano in materia di bilinguismo; il testo pubblicato in tali lingue è l’unico facente fede. Una sintesi degli elementi importanti di ciascun avviso o bando è pubblicata, a cura dell’Ufficio delle pubblicazioni dell’Unione europea, nelle altre lingue ufficiali delle istituzioni dell’Unione europea.</w:t>
      </w:r>
    </w:p>
    <w:p w14:paraId="0258DD16" w14:textId="1FB60417" w:rsidR="00392637" w:rsidRDefault="00392637" w:rsidP="00392637">
      <w:r>
        <w:t>Le stazioni appaltanti possono inviare per la pubblicazione avvisi relativi ad appalti pubblici che non sono soggetti all'obbligo di pubblicazione da parte dell’Ufficio delle pubblicazioni dell’Unione europea, a condizione che essi siano trasmessi a detto Ufficio tale ufficio secondo il modello e le modalità precisati al comma 1.</w:t>
      </w:r>
    </w:p>
    <w:p w14:paraId="26263AFC" w14:textId="77777777" w:rsidR="00392637" w:rsidRDefault="00392637" w:rsidP="00392637"/>
    <w:p w14:paraId="23B18C8C" w14:textId="4EDAE5A6" w:rsidR="00392637" w:rsidRPr="004312BF" w:rsidRDefault="004312BF" w:rsidP="00392637">
      <w:pPr>
        <w:rPr>
          <w:b/>
          <w:bCs/>
        </w:rPr>
      </w:pPr>
      <w:r w:rsidRPr="004312BF">
        <w:rPr>
          <w:b/>
          <w:bCs/>
        </w:rPr>
        <w:t>PUBBLICAZIONE A LIVELLO NAZIONALE</w:t>
      </w:r>
    </w:p>
    <w:p w14:paraId="6D69ADC6" w14:textId="77777777" w:rsidR="00392637" w:rsidRDefault="00392637" w:rsidP="00392637"/>
    <w:p w14:paraId="0BDFC821" w14:textId="77777777" w:rsidR="00254850" w:rsidRDefault="004312BF" w:rsidP="00392637">
      <w:r>
        <w:t xml:space="preserve">L’articolo 85 del codice tratta </w:t>
      </w:r>
      <w:r w:rsidR="00254850">
        <w:t xml:space="preserve">della pubblicazione in sede nazionale </w:t>
      </w:r>
      <w:r>
        <w:t xml:space="preserve">dei </w:t>
      </w:r>
      <w:r w:rsidR="00392637">
        <w:t>bandi, gli avvisi di pre-informazione e quelli relativi agli appalti aggiudicati</w:t>
      </w:r>
      <w:r w:rsidR="00254850">
        <w:t>: essi</w:t>
      </w:r>
      <w:r w:rsidR="00392637">
        <w:t xml:space="preserve"> sono pubblicati, solo successivamente alla pubblicazione di cui all'articolo 84, sulla Banca dati nazionale dei contratti pubblici dell’ANAC e sul sito istituzionale della stazione appaltante o dell’ente concedente.</w:t>
      </w:r>
    </w:p>
    <w:p w14:paraId="0A3C79BF" w14:textId="230D4899" w:rsidR="00392637" w:rsidRDefault="00392637" w:rsidP="00392637">
      <w:r>
        <w:t>Tuttavia, la pubblicazione può comunque avere luogo qualora la pubblicazione a livello europeo non sia stata notificata entro quarantotto ore dalla conferma della ricezione dell'avviso conformemente all'articolo 84.</w:t>
      </w:r>
    </w:p>
    <w:p w14:paraId="12352F10" w14:textId="4FA6C84F" w:rsidR="00392637" w:rsidRDefault="00392637" w:rsidP="00392637">
      <w:r>
        <w:t>Gli avvisi e i bandi pubblicati a livello nazionale sul sito istituzionale della stazione appaltante e sulla Banca dati nazionale dei contratti pubblici dell’ANAC non contengono informazioni diverse da quelle degli avvisi o bandi trasmessi all'Ufficio delle pubblicazioni dell'Unione europea e menzionano la data della trasmissione all'Ufficio delle pubblicazioni dell'Unione europea o della pubblicazione sul sito istituzionale della stazione appaltante.</w:t>
      </w:r>
    </w:p>
    <w:p w14:paraId="4E5A1D92" w14:textId="4C5F576A" w:rsidR="00392637" w:rsidRDefault="00392637" w:rsidP="00392637">
      <w:r>
        <w:t>Gli avvisi di pre-informazione di cui all’articolo 81, comma 1, non sono pubblicati sul sito istituzionale della stazione appaltante prima della trasmissione all'Ufficio delle pubblicazioni dell'Unione europea dell'avviso che ne annuncia la pubblicazione sotto tale forma. Gli avvisi indicano la data di tale trasmissione.</w:t>
      </w:r>
    </w:p>
    <w:p w14:paraId="399E8A71" w14:textId="77777777" w:rsidR="00254850" w:rsidRDefault="00392637" w:rsidP="00392637">
      <w:r>
        <w:t>I bandi, gli avvisi di pre-informazione e quelli relativi agli appalti aggiudicati sono comunicati alla Banca dati nazionale dei contratti pubblici, che li pubblica successivamente al ricevimento della conferma di pubblicazione da parte dell’Ufficio delle pubblicazioni dell'Unione europea o decorso il termine di cui al comma 1.</w:t>
      </w:r>
    </w:p>
    <w:p w14:paraId="4EA5D3FF" w14:textId="117B1342" w:rsidR="00392637" w:rsidRDefault="00392637" w:rsidP="00392637">
      <w:r>
        <w:t>Avvenuta tale pubblicazione, le stazioni appaltanti rendono accessibili i documenti di gara attraverso il collegamento ipertestuale comunicato alla Banca dati stessa, garantendone l’accesso e la disponibilità fino al completamento della procedura di gara e all’esecuzione del contratto. Gli effetti giuridici degli atti oggetto di pubblicazione decorrono dalla data di pubblicazione nella Banca dati nazionale dei contratti pubblici.</w:t>
      </w:r>
    </w:p>
    <w:p w14:paraId="292E2A34" w14:textId="1231E520" w:rsidR="00392637" w:rsidRDefault="00392637" w:rsidP="00392637">
      <w:r>
        <w:t>Le pubblicazioni sulla banca dati ANAC e sul sito istituzionale della stazione appaltante avvengono senza oneri. La pubblicazione di informazioni ulteriori, complementari o aggiuntive rispetto a quelle indicate nel codice avviene esclusivamente in via digitale sul sito istituzionale della stazione appaltante.</w:t>
      </w:r>
    </w:p>
    <w:p w14:paraId="027312DF" w14:textId="56171BB1" w:rsidR="0008074C" w:rsidRDefault="0008074C" w:rsidP="00392637">
      <w:r>
        <w:t xml:space="preserve">Non, dunque, più necessarie pubblicazioni nei quotidiani nazionali. Secondo la relazione illustrativa al codice, </w:t>
      </w:r>
      <w:r>
        <w:t>il risparmio derivante per</w:t>
      </w:r>
      <w:r>
        <w:t xml:space="preserve"> tale mancata</w:t>
      </w:r>
      <w:r>
        <w:t xml:space="preserve"> pubblicazione nei quotidiani nazionali e locali dell’estratto del bando di gara e del conseguente esito di gara relativamente alla procedura sono stimate in € 1.000,00 sia per la pubblicazione del bando, sia per la pubblicazione dell’esito di gara per complessivi € 2.000,00</w:t>
      </w:r>
      <w:r>
        <w:t>.</w:t>
      </w:r>
    </w:p>
    <w:p w14:paraId="6B15D798" w14:textId="77777777" w:rsidR="00392637" w:rsidRDefault="00392637" w:rsidP="00392637"/>
    <w:p w14:paraId="3FFCBFBB" w14:textId="40B6076E" w:rsidR="00392637" w:rsidRDefault="00254850" w:rsidP="00392637">
      <w:r w:rsidRPr="00254850">
        <w:rPr>
          <w:b/>
          <w:bCs/>
        </w:rPr>
        <w:t>AVVISO VOLONTARIO PER LA TRASPARENZA PREVENTIVA</w:t>
      </w:r>
    </w:p>
    <w:p w14:paraId="5E5436C8" w14:textId="77777777" w:rsidR="00392637" w:rsidRDefault="00392637" w:rsidP="00392637"/>
    <w:p w14:paraId="50BC8805" w14:textId="77777777" w:rsidR="001536A4" w:rsidRDefault="00392637" w:rsidP="00392637">
      <w:r>
        <w:t>L’avviso volontario per la trasparenza preventiva</w:t>
      </w:r>
      <w:r w:rsidR="001536A4">
        <w:t xml:space="preserve"> è regolato dall’articolo 86 del codice. Il</w:t>
      </w:r>
      <w:r>
        <w:t xml:space="preserve"> formato</w:t>
      </w:r>
      <w:r w:rsidR="001536A4">
        <w:t xml:space="preserve"> di tale avviso</w:t>
      </w:r>
      <w:r>
        <w:t xml:space="preserve"> è stabilito dalla Commissione europea secondo la procedura di consultazione di cui all’articolo 3-ter, paragrafo 2, della direttiva 89/665/CEE del Consiglio, del 21 dicembre 1989 e di cui all’articolo 3-ter, paragrafo 2, della direttiva 92/13/CEE del Consiglio, del 25 febbraio 1992</w:t>
      </w:r>
      <w:r w:rsidR="001536A4">
        <w:t>.</w:t>
      </w:r>
    </w:p>
    <w:p w14:paraId="5FC68C4B" w14:textId="50C5E984" w:rsidR="00392637" w:rsidRDefault="001536A4" w:rsidP="00392637">
      <w:r>
        <w:t>In particolare, detto avviso</w:t>
      </w:r>
      <w:r w:rsidR="00392637">
        <w:t>contiene le seguenti informazioni:</w:t>
      </w:r>
    </w:p>
    <w:p w14:paraId="437D1906" w14:textId="77777777" w:rsidR="00392637" w:rsidRDefault="00392637" w:rsidP="00392637">
      <w:r>
        <w:t>a) denominazione e recapito della stazione appaltante;</w:t>
      </w:r>
    </w:p>
    <w:p w14:paraId="3135E14F" w14:textId="77777777" w:rsidR="00392637" w:rsidRDefault="00392637" w:rsidP="00392637">
      <w:r>
        <w:t>b) descrizione dell’oggetto del contratto;</w:t>
      </w:r>
    </w:p>
    <w:p w14:paraId="7B115D47" w14:textId="77777777" w:rsidR="00392637" w:rsidRDefault="00392637" w:rsidP="00392637">
      <w:r>
        <w:t>c) motivazione della decisione della stazione appaltante di affidare il contratto senza pubblicazione di un bando di gara nella Gazzetta ufficiale dell’Unione europea;</w:t>
      </w:r>
    </w:p>
    <w:p w14:paraId="643454DE" w14:textId="77777777" w:rsidR="00392637" w:rsidRDefault="00392637" w:rsidP="00392637">
      <w:r>
        <w:t>d) denominazione e recapito dell’operatore economico a favore del quale è avvenuta l’aggiudicazione;</w:t>
      </w:r>
    </w:p>
    <w:p w14:paraId="46A8AE07" w14:textId="77777777" w:rsidR="00392637" w:rsidRDefault="00392637" w:rsidP="00392637">
      <w:r>
        <w:t>e) se del caso, qualunque altra informazione ritenuta utile dalla stazione appaltante.</w:t>
      </w:r>
    </w:p>
    <w:p w14:paraId="7CEEFB93" w14:textId="778758AF" w:rsidR="00F970C2" w:rsidRDefault="00F970C2" w:rsidP="00392637">
      <w:r>
        <w:lastRenderedPageBreak/>
        <w:t>L’avviso volontario per la trasparenza preventiva è uno strumento istruttorio, opportuno da utilizzare nel caso di utilizzo della procedura negoziata senza pubblicazione del bando, allo scopo di evidenziare l’assenza di un possibile mercato concorrenziale nella realizzazione della prestazione oggetto del contratto.</w:t>
      </w:r>
    </w:p>
    <w:p w14:paraId="5029132A" w14:textId="4D91C4E1" w:rsidR="00392637" w:rsidRDefault="00F970C2" w:rsidP="00392637">
      <w:r>
        <w:t>In effetti, allo scopo di garantire l’applicazione concreta del principio della concorrenza,</w:t>
      </w:r>
      <w:r w:rsidRPr="00F970C2">
        <w:t xml:space="preserve"> l’affidamento di un contratto ad un </w:t>
      </w:r>
      <w:r>
        <w:t>operatore</w:t>
      </w:r>
      <w:r w:rsidRPr="00F970C2">
        <w:t xml:space="preserve"> economico </w:t>
      </w:r>
      <w:r>
        <w:t>selezionato con una procedura priva della</w:t>
      </w:r>
      <w:r w:rsidRPr="00F970C2">
        <w:t xml:space="preserve"> la previa pubblicazione di un bando deve essere preceduto da una preventiva indagine di mercato al fine di accertare che la prestazione richiesta non è normalmente disponibile;</w:t>
      </w:r>
      <w:r>
        <w:t xml:space="preserve"> in ogni caso, </w:t>
      </w:r>
      <w:r w:rsidRPr="00F970C2">
        <w:t xml:space="preserve">anche in mancanza di tale indagine, tuttavia, l’amministrazione </w:t>
      </w:r>
      <w:r>
        <w:t>potrebbe</w:t>
      </w:r>
      <w:r w:rsidRPr="00F970C2">
        <w:t xml:space="preserve"> derogare all</w:t>
      </w:r>
      <w:r>
        <w:t xml:space="preserve">’utilizzo della </w:t>
      </w:r>
      <w:r w:rsidRPr="00F970C2">
        <w:t xml:space="preserve">procedura aperta solo </w:t>
      </w:r>
      <w:r>
        <w:t>laddove sussista</w:t>
      </w:r>
      <w:r w:rsidRPr="00F970C2">
        <w:t xml:space="preserve"> un’oggettiva impossibilità di affidare i medesimi servizi ad operatori economici diversi</w:t>
      </w:r>
      <w:r>
        <w:t xml:space="preserve"> da quello individuato. In caso contrario,</w:t>
      </w:r>
      <w:r w:rsidRPr="00F970C2">
        <w:t xml:space="preserve"> non sono ammissibili motivazioni riconducibili a ragioni di eccessiva difficoltà nell’affidare un servizio ad un soggetto diverso</w:t>
      </w:r>
      <w:r>
        <w:t xml:space="preserve"> da quello scelto</w:t>
      </w:r>
      <w:r w:rsidRPr="00F970C2">
        <w:t xml:space="preserve">, </w:t>
      </w:r>
      <w:r>
        <w:t>dovuto ad esempio a</w:t>
      </w:r>
      <w:r w:rsidRPr="00F970C2">
        <w:t>gli oneri di programmazione dell’attività di approvvigionamento di beni e servizi, che consentono alle amministrazioni di superare eventuali difficoltà tecniche legate all’aggiudicazione ad un nuovo soggetto</w:t>
      </w:r>
      <w:r>
        <w:t>. Nè</w:t>
      </w:r>
      <w:r w:rsidRPr="00F970C2">
        <w:t xml:space="preserve"> eccessivi oneri economici potrebbero giustificare la deroga alle procedure ad evidenza pubblica, atteso che il confronto concorrenziale non può </w:t>
      </w:r>
      <w:r>
        <w:t>tende ad</w:t>
      </w:r>
      <w:r w:rsidRPr="00F970C2">
        <w:t xml:space="preserve"> ingenerare un abbassamento dei prezzi, a beneficio della stazione appaltante.</w:t>
      </w:r>
    </w:p>
    <w:p w14:paraId="0B0233DB" w14:textId="77777777" w:rsidR="00D53791" w:rsidRDefault="00D53791" w:rsidP="00D53791">
      <w:r>
        <w:t xml:space="preserve">Pertanto, l’avviso volontario per la trasparenza preventiva mette </w:t>
      </w:r>
      <w:r>
        <w:t>tutti gli operatori del settore potenzialmente interessati in condizione di venire a conoscenza della decisione dell’amministrazione aggiudicatrice di affidare l’appalto senza previa pubblicazione di un bando di gara” (punto 61 della sentenza dell’11 settembre 2014, n. C-19/13 - Corte di Giustizia CE).</w:t>
      </w:r>
    </w:p>
    <w:p w14:paraId="54401AF4" w14:textId="77777777" w:rsidR="00183949" w:rsidRDefault="00D53791" w:rsidP="00D53791">
      <w:r>
        <w:t xml:space="preserve">Il “termine sospensivo di (almeno) dieci giorni” pone gli interessati “in grado di contestare in giudizio l’aggiudicazione di un appalto prima che il contratto sia concluso” (punto 61 della citata sentenza) e, in particolare, di presentare domanda di provvedimenti cautelari prima di tale conclusione (sentenze Commissione/Spagna, C-444/06, EU:C:2008:190, punti 38 e 39, e Commissione/Irlanda, C-456/08, EU:C:2010:46, punto 33, richiamate nel punto 60 della citata sentenza dell’11 settembre 2014). </w:t>
      </w:r>
    </w:p>
    <w:p w14:paraId="5E688831" w14:textId="56CB6720" w:rsidR="00D53791" w:rsidRDefault="00D53791" w:rsidP="00D53791">
      <w:r>
        <w:t>Con tale procedimento, il legislatore dell’Unione si propone di conciliare più interessi, ossia quelli dell’impresa lesa, attribuendole il diritto di avviare un procedimento sommario precontrattuale e di ottenere l’annullamento del contratto illegittimamente concluso, con quelli dell’amministrazione aggiudicatrice e dell’impresa selezionata, limitando l’incertezza giuridica che potrebbe derivare dalla privazione di effetti del contratto (punto 63 della sentenza dell’11 settembre 2014, n. C-19/13 - Corte di Giustizia CE).</w:t>
      </w:r>
    </w:p>
    <w:p w14:paraId="36881099" w14:textId="77777777" w:rsidR="00F970C2" w:rsidRDefault="00F970C2" w:rsidP="00392637"/>
    <w:p w14:paraId="52D11D2E" w14:textId="24A4495D" w:rsidR="00392637" w:rsidRPr="00183949" w:rsidRDefault="00183949" w:rsidP="00392637">
      <w:pPr>
        <w:rPr>
          <w:b/>
          <w:bCs/>
        </w:rPr>
      </w:pPr>
      <w:r w:rsidRPr="00183949">
        <w:rPr>
          <w:b/>
          <w:bCs/>
        </w:rPr>
        <w:t>DISCIPLINARE DI GARA E CAPITOLATO SPECIALE</w:t>
      </w:r>
    </w:p>
    <w:p w14:paraId="6C42D092" w14:textId="2A20BF0C" w:rsidR="00392637" w:rsidRDefault="00183949" w:rsidP="00392637">
      <w:r>
        <w:t>Ai sensi dell’articolo 87, comma 1, i</w:t>
      </w:r>
      <w:r w:rsidR="00392637">
        <w:t>l disciplinare di gara fissa le regole per lo svolgimento del procedimento di selezione delle offerte.</w:t>
      </w:r>
      <w:r>
        <w:t xml:space="preserve"> Si tratta, quindi, dell’insieme delle norme che sorreggono e guidano le attività materiali svolte dalla commissione giudicatrice o dal seggio di gara, a garanzia della trasparenza e parità di condizioni.</w:t>
      </w:r>
    </w:p>
    <w:p w14:paraId="27BD0E3E" w14:textId="3E477A52" w:rsidR="00392637" w:rsidRDefault="00183949" w:rsidP="00392637">
      <w:r>
        <w:t>Secondo il successivo comma 2, i</w:t>
      </w:r>
      <w:r w:rsidR="00392637">
        <w:t>l capitolato speciale definisce i contenuti del futuro rapporto contrattuale tra l’aggiudicatario e la stazione appaltante.</w:t>
      </w:r>
      <w:r>
        <w:t xml:space="preserve"> E’, dunque, un documento avente specifica natura negoziale e, infatti, fa parte integrante del contratto sottoscritto a seguito dell’aggiudicazione.</w:t>
      </w:r>
    </w:p>
    <w:p w14:paraId="6F89A9E7" w14:textId="11A46447" w:rsidR="00392637" w:rsidRDefault="00183949" w:rsidP="00392637">
      <w:r>
        <w:t>Il comma 3 dell’articolo 87 precisa che i</w:t>
      </w:r>
      <w:r w:rsidR="00392637">
        <w:t>l disciplinare di gara e il capitolato speciale indicano, per gli aspetti di rispettiva competenza, le specifiche tecniche, le etichettature, i rapporti di prova, le certificazioni e altri mezzi di prova, nonché il costo del ciclo di vita secondo quanto stabilito all’allegato II.8.</w:t>
      </w:r>
    </w:p>
    <w:p w14:paraId="3AB5C545" w14:textId="2201D32F" w:rsidR="00AE7BB3" w:rsidRDefault="00AE7BB3" w:rsidP="00AE7BB3">
      <w:pPr>
        <w:shd w:val="clear" w:color="auto" w:fill="F2F2F2" w:themeFill="background1" w:themeFillShade="F2"/>
      </w:pPr>
      <w:r>
        <w:t>PER APPROFONDIRE</w:t>
      </w:r>
    </w:p>
    <w:p w14:paraId="78E64CB0" w14:textId="77777777" w:rsidR="00AE7BB3" w:rsidRDefault="00AE7BB3" w:rsidP="00AE7BB3">
      <w:pPr>
        <w:shd w:val="clear" w:color="auto" w:fill="F2F2F2"/>
      </w:pPr>
      <w:r>
        <w:t>ALLEGATO II.8 - InRapporti di prova, certificazioni delle qualità, mezzi di prova, registro on line dei certificati e costi del ciclo vita (Articolo 87)</w:t>
      </w:r>
    </w:p>
    <w:p w14:paraId="3618FF4A" w14:textId="77777777" w:rsidR="00AE7BB3" w:rsidRDefault="00AE7BB3" w:rsidP="00AE7BB3">
      <w:pPr>
        <w:shd w:val="clear" w:color="auto" w:fill="F2F2F2"/>
      </w:pPr>
    </w:p>
    <w:p w14:paraId="78067D64" w14:textId="77777777" w:rsidR="00AE7BB3" w:rsidRDefault="00AE7BB3" w:rsidP="00AE7BB3">
      <w:pPr>
        <w:shd w:val="clear" w:color="auto" w:fill="F2F2F2"/>
      </w:pPr>
      <w:r>
        <w:lastRenderedPageBreak/>
        <w:t>I. Le stazioni appaltanti possono richiedere agli operatori economici una relazione di prova o un certificato rilasciato da un organismo di valutazione di conformità quale mezzo di prova di conformità dell’offerta ai requisiti o ai criteri stabiliti nelle specifiche tecniche, ai criteri di aggiudicazione o alle condizioni relative all’esecuzione  dell’appalto.</w:t>
      </w:r>
    </w:p>
    <w:p w14:paraId="2C05586B" w14:textId="77777777" w:rsidR="00AE7BB3" w:rsidRDefault="00AE7BB3" w:rsidP="00AE7BB3">
      <w:pPr>
        <w:shd w:val="clear" w:color="auto" w:fill="F2F2F2"/>
      </w:pPr>
    </w:p>
    <w:p w14:paraId="641DDAB5" w14:textId="77777777" w:rsidR="00AE7BB3" w:rsidRDefault="00AE7BB3" w:rsidP="00AE7BB3">
      <w:pPr>
        <w:shd w:val="clear" w:color="auto" w:fill="F2F2F2"/>
      </w:pPr>
      <w:r>
        <w:t>Le stazioni appaltanti che richiedono la presentazione di certificati rilasciati da uno specifico organismo di valutazione della conformità accettano anche i certificati rilasciati da organismi di valutazione della conformità equivalenti. A tal fine, per «organismo di valutazione della conformità» si intende un organismo che effettua attività di valutazione della conformità, comprese taratura, prove, ispezione e certificazione, accreditato a norma del regolamento (CE) n. 765/2008 del Parlamento europeo e del Consiglio, del 9 luglio 2008 oppure autorizzato, per l'applicazione della normativa dell’Unione europea di armonizzazione, dagli Stati membri non basandosi sull'accreditamento, a norma dell'articolo 5, paragrafo 2, dello stesso regolamento (CE) n. 765/2008. Nei casi non coperti da normativa dell’Unione europea di armonizzazione, si impiegano i rapporti e certificati rilasciati dagli organismi eventualmente indicati nelle disposizioni nazionali di settore.</w:t>
      </w:r>
    </w:p>
    <w:p w14:paraId="685C49C9" w14:textId="77777777" w:rsidR="00AE7BB3" w:rsidRDefault="00AE7BB3" w:rsidP="00AE7BB3">
      <w:pPr>
        <w:shd w:val="clear" w:color="auto" w:fill="F2F2F2"/>
      </w:pPr>
      <w:r>
        <w:t>Le stazioni appaltanti accettano altri mezzi di prova appropriati, diversi da quelli precedentemente indicati, ivi compresa una documentazione tecnica del fabbricante, se l'operatore economico interessato non aveva accesso ai certificati o alle relazioni di prova, o non poteva ottenerli entro i termini richiesti, purché il mancato accesso non sia imputabile all'operatore economico interessato e purché questi dimostri che i lavori, le forniture o i servizi prestati soddisfano i requisiti o i criteri stabiliti nelle specifiche tecniche, i criteri di aggiudicazione o le condizioni relative all'esecuzione dell'appalto.</w:t>
      </w:r>
    </w:p>
    <w:p w14:paraId="3787A3C6" w14:textId="77777777" w:rsidR="00AE7BB3" w:rsidRDefault="00AE7BB3" w:rsidP="00AE7BB3">
      <w:pPr>
        <w:shd w:val="clear" w:color="auto" w:fill="F2F2F2"/>
      </w:pPr>
      <w:r>
        <w:t>Le informazioni relative alle prove e ai documenti presentati sono messe a disposizione degli altri Stati membri, su richiesta, mediante la Cabina di regia di cui all’articolo 221 del codice. Lo scambio delle informazioni è finalizzato a un'efficace cooperazione reciproca, e avviene nel rispetto delle regole europee e nazionali in materia di protezione dei dati personali.</w:t>
      </w:r>
    </w:p>
    <w:p w14:paraId="69A2B127" w14:textId="77777777" w:rsidR="00AE7BB3" w:rsidRDefault="00AE7BB3" w:rsidP="00AE7BB3">
      <w:pPr>
        <w:shd w:val="clear" w:color="auto" w:fill="F2F2F2"/>
      </w:pPr>
    </w:p>
    <w:p w14:paraId="21731749" w14:textId="77777777" w:rsidR="00AE7BB3" w:rsidRDefault="00AE7BB3" w:rsidP="00AE7BB3">
      <w:pPr>
        <w:shd w:val="clear" w:color="auto" w:fill="F2F2F2"/>
      </w:pPr>
      <w:r>
        <w:t>II. Al fine di facilitare la presentazione di offerte transfrontaliere le stazioni appaltanti richiedono in primo luogo la presentazione dei tipi di certificati o altre forme di prove documentali contemplate dal registro on line dei certificati (e-Certis).</w:t>
      </w:r>
    </w:p>
    <w:p w14:paraId="5751177F" w14:textId="77777777" w:rsidR="00AE7BB3" w:rsidRDefault="00AE7BB3" w:rsidP="00AE7BB3">
      <w:pPr>
        <w:shd w:val="clear" w:color="auto" w:fill="F2F2F2"/>
      </w:pPr>
      <w:r>
        <w:t>La cabina di regia di cui all’articolo 221 del codice cura l’aggiornamento delle informazioni concernenti i certificati e le altre forme di prove documentali introdotte in e-Certis e stabilite dalla Commissione europea.</w:t>
      </w:r>
    </w:p>
    <w:p w14:paraId="5CFF4404" w14:textId="77777777" w:rsidR="00AE7BB3" w:rsidRDefault="00AE7BB3" w:rsidP="00AE7BB3">
      <w:pPr>
        <w:shd w:val="clear" w:color="auto" w:fill="F2F2F2"/>
      </w:pPr>
    </w:p>
    <w:p w14:paraId="47E14856" w14:textId="77777777" w:rsidR="00AE7BB3" w:rsidRDefault="00AE7BB3" w:rsidP="00AE7BB3">
      <w:pPr>
        <w:shd w:val="clear" w:color="auto" w:fill="F2F2F2"/>
      </w:pPr>
      <w:r>
        <w:t>III. Quando valutano le offerte sulla base di un criterio quale il costo del ciclo vita di un prodotto, le stazioni appaltanti indicano nei documenti di gara i dati che gli operatori economici devono fornire e il metodo che sarà impiegato al fine di determinare i costi del ciclo vita sulla base di tali dati.</w:t>
      </w:r>
    </w:p>
    <w:p w14:paraId="28A0E0E3" w14:textId="77777777" w:rsidR="00AE7BB3" w:rsidRDefault="00AE7BB3" w:rsidP="00AE7BB3">
      <w:pPr>
        <w:shd w:val="clear" w:color="auto" w:fill="F2F2F2"/>
      </w:pPr>
    </w:p>
    <w:p w14:paraId="3EE02F8B" w14:textId="77777777" w:rsidR="00AE7BB3" w:rsidRDefault="00AE7BB3" w:rsidP="00AE7BB3">
      <w:pPr>
        <w:shd w:val="clear" w:color="auto" w:fill="F2F2F2"/>
      </w:pPr>
      <w:r>
        <w:t>I dati che le stazioni appaltanti possono richiedere sono:</w:t>
      </w:r>
    </w:p>
    <w:p w14:paraId="398CC17C" w14:textId="77777777" w:rsidR="00AE7BB3" w:rsidRDefault="00AE7BB3" w:rsidP="00AE7BB3">
      <w:pPr>
        <w:shd w:val="clear" w:color="auto" w:fill="F2F2F2"/>
      </w:pPr>
    </w:p>
    <w:p w14:paraId="67E791A7" w14:textId="77777777" w:rsidR="00AE7BB3" w:rsidRDefault="00AE7BB3" w:rsidP="00AE7BB3">
      <w:pPr>
        <w:shd w:val="clear" w:color="auto" w:fill="F2F2F2"/>
      </w:pPr>
      <w:r>
        <w:t>1) costi relativi all’acquisizione;</w:t>
      </w:r>
    </w:p>
    <w:p w14:paraId="39CBAB2E" w14:textId="77777777" w:rsidR="00AE7BB3" w:rsidRDefault="00AE7BB3" w:rsidP="00AE7BB3">
      <w:pPr>
        <w:shd w:val="clear" w:color="auto" w:fill="F2F2F2"/>
      </w:pPr>
      <w:r>
        <w:t>2) costi connessi all’utilizzo, quali consumo di energia e altre risorse;</w:t>
      </w:r>
    </w:p>
    <w:p w14:paraId="5572D2AF" w14:textId="77777777" w:rsidR="00AE7BB3" w:rsidRDefault="00AE7BB3" w:rsidP="00AE7BB3">
      <w:pPr>
        <w:shd w:val="clear" w:color="auto" w:fill="F2F2F2"/>
      </w:pPr>
      <w:r>
        <w:t>3) costi di manutenzione;</w:t>
      </w:r>
    </w:p>
    <w:p w14:paraId="31096EA6" w14:textId="77777777" w:rsidR="00AE7BB3" w:rsidRDefault="00AE7BB3" w:rsidP="00AE7BB3">
      <w:pPr>
        <w:shd w:val="clear" w:color="auto" w:fill="F2F2F2"/>
      </w:pPr>
      <w:r>
        <w:t>4) costi relativi al fine vita, come i costi di raccolta, di smaltimento e di riciclaggio;</w:t>
      </w:r>
    </w:p>
    <w:p w14:paraId="51E69F6F" w14:textId="77777777" w:rsidR="00AE7BB3" w:rsidRDefault="00AE7BB3" w:rsidP="00AE7BB3">
      <w:pPr>
        <w:shd w:val="clear" w:color="auto" w:fill="F2F2F2"/>
      </w:pPr>
      <w:r>
        <w:t>5) costi imputati a esternalità ambientali legate ai prodotti, servizi o lavori nel corso del ciclo di vita, purché il loro valore monetario possa essere determinato e verificato. Tali costi possono includere i costi delle emissioni di gas a effetto serra e di altre sostanze inquinanti, nonché altri costi legati all’attenuazione dei cambiamenti climatici.</w:t>
      </w:r>
    </w:p>
    <w:p w14:paraId="177F49F5" w14:textId="77777777" w:rsidR="00AE7BB3" w:rsidRDefault="00AE7BB3" w:rsidP="00AE7BB3">
      <w:pPr>
        <w:shd w:val="clear" w:color="auto" w:fill="F2F2F2"/>
      </w:pPr>
    </w:p>
    <w:p w14:paraId="0944ED4F" w14:textId="77777777" w:rsidR="00AE7BB3" w:rsidRDefault="00AE7BB3" w:rsidP="00AE7BB3">
      <w:pPr>
        <w:shd w:val="clear" w:color="auto" w:fill="F2F2F2"/>
      </w:pPr>
      <w:r>
        <w:t>Il metodo utilizzato dalle stazioni appaltanti per la valutazione dei costi imputati alle esternalità ambientali deve soddisfare tutte le seguenti condizioni:</w:t>
      </w:r>
    </w:p>
    <w:p w14:paraId="3450B71B" w14:textId="77777777" w:rsidR="00AE7BB3" w:rsidRDefault="00AE7BB3" w:rsidP="00AE7BB3">
      <w:pPr>
        <w:shd w:val="clear" w:color="auto" w:fill="F2F2F2"/>
      </w:pPr>
    </w:p>
    <w:p w14:paraId="178D649F" w14:textId="77777777" w:rsidR="00AE7BB3" w:rsidRDefault="00AE7BB3" w:rsidP="00AE7BB3">
      <w:pPr>
        <w:shd w:val="clear" w:color="auto" w:fill="F2F2F2"/>
      </w:pPr>
      <w:r>
        <w:t>a) essere basato su criteri oggettivi, verificabili e non discriminatori. Se il metodo non è stato previsto per un'applicazione ripetuta o continua, lo stesso non deve favorire né svantaggiare indebitamente taluni operatori economici;</w:t>
      </w:r>
    </w:p>
    <w:p w14:paraId="2659EB20" w14:textId="77777777" w:rsidR="00AE7BB3" w:rsidRDefault="00AE7BB3" w:rsidP="00AE7BB3">
      <w:pPr>
        <w:shd w:val="clear" w:color="auto" w:fill="F2F2F2"/>
      </w:pPr>
      <w:r>
        <w:t>b) essere accessibile a tutte le parti interessate;</w:t>
      </w:r>
    </w:p>
    <w:p w14:paraId="629DE96A" w14:textId="77777777" w:rsidR="00AE7BB3" w:rsidRDefault="00AE7BB3" w:rsidP="00AE7BB3">
      <w:pPr>
        <w:shd w:val="clear" w:color="auto" w:fill="F2F2F2"/>
      </w:pPr>
      <w:r>
        <w:t>c) i dati richiesti devono poter essere forniti con ragionevole sforzo da operatori economici normalmente diligenti, compresi gli operatori economici di altri Stati membri, di paesi terzi parti dell'AAP o di altri accordi internazionali che l'Unione europea è tenuta a rispettare o ratificati dall'Italia.</w:t>
      </w:r>
    </w:p>
    <w:p w14:paraId="5F106996" w14:textId="77777777" w:rsidR="00AE7BB3" w:rsidRDefault="00AE7BB3" w:rsidP="00AE7BB3">
      <w:pPr>
        <w:shd w:val="clear" w:color="auto" w:fill="F2F2F2"/>
      </w:pPr>
    </w:p>
    <w:p w14:paraId="5924DEFB" w14:textId="13AF96C8" w:rsidR="00AE7BB3" w:rsidRDefault="00AE7BB3" w:rsidP="00AE7BB3">
      <w:pPr>
        <w:shd w:val="clear" w:color="auto" w:fill="F2F2F2" w:themeFill="background1" w:themeFillShade="F2"/>
      </w:pPr>
      <w:r>
        <w:t>Ogniqualvolta un metodo comune per il calcolo dei costi del ciclo di vita è stato reso obbligatorio da un atto legislativo dell'Unione europea, tale metodo comune è applicato per la valutazione dei costi del ciclo di vita. Un metodo comune per il calcolo dei costi del ciclo vita è previsto dalla direttiva 2009/33/CE del Parlamento europeo e del Consiglio, del 23 aprile 2009, relativa alla promozione di veicoli puliti adibiti al trasporto su strada a sostegno di una mobilità a basse emissioni.</w:t>
      </w:r>
    </w:p>
    <w:p w14:paraId="0F47E4ED" w14:textId="77777777" w:rsidR="00392637" w:rsidRDefault="00392637" w:rsidP="00392637"/>
    <w:p w14:paraId="5426220D" w14:textId="628EEE3F" w:rsidR="00392637" w:rsidRPr="00AE7BB3" w:rsidRDefault="00AE7BB3" w:rsidP="00392637">
      <w:pPr>
        <w:rPr>
          <w:b/>
          <w:bCs/>
        </w:rPr>
      </w:pPr>
      <w:r w:rsidRPr="00AE7BB3">
        <w:rPr>
          <w:b/>
          <w:bCs/>
        </w:rPr>
        <w:t>DISPONIBILITÀ DIGITALE DEI DOCUMENTI DI GARA</w:t>
      </w:r>
    </w:p>
    <w:p w14:paraId="3A70417E" w14:textId="595DE76A" w:rsidR="00392637" w:rsidRDefault="00AE7BB3" w:rsidP="00AE7BB3">
      <w:r>
        <w:t>L’articolo 88 del codice fa compiere un ulteriore deciso passo in avanti verso la gestione digitale prevedendo al comma 1 che a</w:t>
      </w:r>
      <w:r w:rsidR="00392637">
        <w:t xml:space="preserve"> decorrere dalla data di pubblicazione di un avviso o da quella di invio di un invito a confermare l’interesse, i documenti di gara sono resi disponibili in forma digitale, in modo gratuito, illimitato e diretto. L'avviso e l'invito a confermare l’interesse indicano il collegamento ipertestuale presso il quale i documenti di gara sono accessibili.</w:t>
      </w:r>
    </w:p>
    <w:p w14:paraId="19B6B8EA" w14:textId="1EE395B3" w:rsidR="00FC23BD" w:rsidRDefault="00FC23BD" w:rsidP="00AE7BB3">
      <w:r>
        <w:t>Addio, quindi, alla carta: occorre formare i documenti in formato digitale, avendo cura di creare collegamenti ipertestuali tra i vari allegati.</w:t>
      </w:r>
    </w:p>
    <w:p w14:paraId="6A684968" w14:textId="41464F99" w:rsidR="00392637" w:rsidRDefault="00FC23BD" w:rsidP="00392637">
      <w:r>
        <w:t xml:space="preserve">Ai sensi del comma 2, qualora fosse impossibile </w:t>
      </w:r>
      <w:r w:rsidR="00392637">
        <w:t>utilizzare mezzi di comunicazione elettronica previsti dal codice</w:t>
      </w:r>
      <w:r>
        <w:t>,</w:t>
      </w:r>
      <w:r w:rsidR="00392637">
        <w:t xml:space="preserve"> l'avviso o l'invito a confermare l’interesse ne danno conto e indicano le modalità </w:t>
      </w:r>
      <w:r>
        <w:t xml:space="preserve">alternative </w:t>
      </w:r>
      <w:r w:rsidR="00392637">
        <w:t>con cui i documenti sono trasmessi. In questi casi il termine per la presentazione delle offerte è prorogato di non oltre cinque giorni.</w:t>
      </w:r>
    </w:p>
    <w:p w14:paraId="4816434A" w14:textId="77777777" w:rsidR="00FC23BD" w:rsidRDefault="00FC23BD" w:rsidP="00392637">
      <w:r>
        <w:t xml:space="preserve">Secondo il comma 3, </w:t>
      </w:r>
      <w:r w:rsidR="00392637">
        <w:t>ulteriori informazioni richieste</w:t>
      </w:r>
      <w:r>
        <w:t xml:space="preserve"> dagli operatori economici</w:t>
      </w:r>
      <w:r w:rsidR="00392637">
        <w:t xml:space="preserve"> sui documenti di gara</w:t>
      </w:r>
      <w:r>
        <w:t>:</w:t>
      </w:r>
    </w:p>
    <w:p w14:paraId="1D760B99" w14:textId="40ED2C01" w:rsidR="00FC23BD" w:rsidRDefault="00392637" w:rsidP="00FC23BD">
      <w:pPr>
        <w:numPr>
          <w:ilvl w:val="3"/>
          <w:numId w:val="17"/>
        </w:numPr>
      </w:pPr>
      <w:r>
        <w:t>sono comunicate a tutti gli offerenti</w:t>
      </w:r>
    </w:p>
    <w:p w14:paraId="4569FE16" w14:textId="77777777" w:rsidR="00FC23BD" w:rsidRDefault="00392637" w:rsidP="00FC23BD">
      <w:pPr>
        <w:numPr>
          <w:ilvl w:val="3"/>
          <w:numId w:val="17"/>
        </w:numPr>
      </w:pPr>
      <w:r>
        <w:t xml:space="preserve">oppure rese disponibili sulla piattaforma di approvvigionamento digitale e sul sito istituzionale </w:t>
      </w:r>
    </w:p>
    <w:p w14:paraId="30A4A7CF" w14:textId="0E4576D9" w:rsidR="00392637" w:rsidRDefault="00392637" w:rsidP="00FC23BD">
      <w:pPr>
        <w:ind w:left="284"/>
      </w:pPr>
      <w:r>
        <w:t>almeno sei giorni prima della scadenza del termine stabilito per la ricezione delle offerte e almeno quattro giorni prima quando il termine per la ricezione delle offerte è ridotto.</w:t>
      </w:r>
    </w:p>
    <w:p w14:paraId="37C68C49" w14:textId="77777777" w:rsidR="00392637" w:rsidRDefault="00392637" w:rsidP="00392637"/>
    <w:p w14:paraId="5700AF6C" w14:textId="3716D676" w:rsidR="00392637" w:rsidRPr="00FC23BD" w:rsidRDefault="00FC23BD" w:rsidP="00392637">
      <w:pPr>
        <w:rPr>
          <w:b/>
          <w:bCs/>
        </w:rPr>
      </w:pPr>
      <w:r w:rsidRPr="00FC23BD">
        <w:rPr>
          <w:b/>
          <w:bCs/>
        </w:rPr>
        <w:t>INVITI AI CANDIDATI</w:t>
      </w:r>
    </w:p>
    <w:p w14:paraId="5A7F2C80" w14:textId="77777777" w:rsidR="001E0D22" w:rsidRDefault="001E0D22" w:rsidP="00392637">
      <w:r>
        <w:t>L’articolo 89 regola gli inviti agli operatori economici diramati n</w:t>
      </w:r>
      <w:r w:rsidR="00392637">
        <w:t>elle procedure ristrette, nel dialogo competitivo, nei partenariati per l'innovazione</w:t>
      </w:r>
      <w:r>
        <w:t xml:space="preserve"> e</w:t>
      </w:r>
      <w:r w:rsidR="00392637">
        <w:t xml:space="preserve"> nelle procedure competitive con negoziazione</w:t>
      </w:r>
      <w:r>
        <w:t>.</w:t>
      </w:r>
    </w:p>
    <w:p w14:paraId="76A6DD51" w14:textId="77777777" w:rsidR="001E0D22" w:rsidRDefault="001E0D22" w:rsidP="00392637">
      <w:r>
        <w:t>In questi casi, secondo il comma 1,</w:t>
      </w:r>
      <w:r w:rsidR="00392637">
        <w:t xml:space="preserve"> le stazioni appaltanti invitano simultaneamente e per iscritto, attraverso le piattaforme di approvvigionamento digitale, i candidati selezionati a presentare le rispettive offerte o a negoziare o, nel caso di dialogo competitivo, a partecipare al dialogo.</w:t>
      </w:r>
    </w:p>
    <w:p w14:paraId="2A1523E1" w14:textId="60EFFE38" w:rsidR="00392637" w:rsidRDefault="00392637" w:rsidP="00392637">
      <w:r>
        <w:t>Nel caso di indizione di gara tramite un avviso di pre-informazione, le stazioni appaltanti invitano con le stesse modalità gli operatori economici</w:t>
      </w:r>
      <w:r w:rsidR="001E0D22">
        <w:t>,</w:t>
      </w:r>
      <w:r>
        <w:t xml:space="preserve"> che già hanno espresso interesse</w:t>
      </w:r>
      <w:r w:rsidR="001E0D22">
        <w:t xml:space="preserve"> a seguito dell’avviso di pre-informazione,</w:t>
      </w:r>
      <w:r>
        <w:t xml:space="preserve"> a confermare nuovamente il loro interesse</w:t>
      </w:r>
      <w:r w:rsidR="001E0D22">
        <w:t xml:space="preserve"> a ricevere l’invito a presentare offerta</w:t>
      </w:r>
      <w:r>
        <w:t>.</w:t>
      </w:r>
    </w:p>
    <w:p w14:paraId="106148F2" w14:textId="77777777" w:rsidR="001E0D22" w:rsidRDefault="001E0D22" w:rsidP="00392637">
      <w:r>
        <w:t>Secondo il comma 2, g</w:t>
      </w:r>
      <w:r w:rsidR="00392637">
        <w:t>li inviti menzionano il collegamento ipertestuale al quale sono stati resi direttamente disponibili per via elettronica i documenti di gara e comprendono le informazioni indicate nell'allegato II.9.</w:t>
      </w:r>
    </w:p>
    <w:p w14:paraId="27021209" w14:textId="295FE766" w:rsidR="001E0D22" w:rsidRDefault="001E0D22" w:rsidP="001E0D22">
      <w:pPr>
        <w:shd w:val="clear" w:color="auto" w:fill="F2F2F2" w:themeFill="background1" w:themeFillShade="F2"/>
      </w:pPr>
      <w:r>
        <w:t>PER APPROFONDIRE</w:t>
      </w:r>
    </w:p>
    <w:p w14:paraId="364FFCEE" w14:textId="77777777" w:rsidR="003A0CA5" w:rsidRDefault="003A0CA5" w:rsidP="003A0CA5">
      <w:pPr>
        <w:shd w:val="clear" w:color="auto" w:fill="F2F2F2"/>
      </w:pPr>
      <w:r>
        <w:lastRenderedPageBreak/>
        <w:t>ALLEGATO II.9 - Informazioni contenute negli inviti ai candidati (Articoli 89, comma 2 e 165, comma 2)</w:t>
      </w:r>
    </w:p>
    <w:p w14:paraId="35A713F9" w14:textId="77777777" w:rsidR="003A0CA5" w:rsidRDefault="003A0CA5" w:rsidP="003A0CA5">
      <w:pPr>
        <w:shd w:val="clear" w:color="auto" w:fill="F2F2F2"/>
      </w:pPr>
    </w:p>
    <w:p w14:paraId="65B6054E" w14:textId="77777777" w:rsidR="003A0CA5" w:rsidRDefault="003A0CA5" w:rsidP="003A0CA5">
      <w:pPr>
        <w:shd w:val="clear" w:color="auto" w:fill="F2F2F2"/>
      </w:pPr>
      <w:r>
        <w:t>PARTE I - Contenuto degli inviti a presentare offerte, a partecipare al dialogo competitivo o a confermare interesse, previsti per i settori ordinari di cui all'articolo 89 del codice</w:t>
      </w:r>
    </w:p>
    <w:p w14:paraId="12F676FA" w14:textId="77777777" w:rsidR="003A0CA5" w:rsidRDefault="003A0CA5" w:rsidP="003A0CA5">
      <w:pPr>
        <w:shd w:val="clear" w:color="auto" w:fill="F2F2F2"/>
      </w:pPr>
    </w:p>
    <w:p w14:paraId="143F0F0B" w14:textId="77777777" w:rsidR="003A0CA5" w:rsidRDefault="003A0CA5" w:rsidP="003A0CA5">
      <w:pPr>
        <w:shd w:val="clear" w:color="auto" w:fill="F2F2F2"/>
      </w:pPr>
      <w:r>
        <w:t>1. L'invito a presentare un'offerta o a partecipare al dialogo ai sensi dell'articolo 74 del codice deve contenere almeno:</w:t>
      </w:r>
    </w:p>
    <w:p w14:paraId="5230D1A4" w14:textId="77777777" w:rsidR="003A0CA5" w:rsidRDefault="003A0CA5" w:rsidP="003A0CA5">
      <w:pPr>
        <w:shd w:val="clear" w:color="auto" w:fill="F2F2F2"/>
      </w:pPr>
    </w:p>
    <w:p w14:paraId="35E766B5" w14:textId="77777777" w:rsidR="003A0CA5" w:rsidRDefault="003A0CA5" w:rsidP="003A0CA5">
      <w:pPr>
        <w:shd w:val="clear" w:color="auto" w:fill="F2F2F2"/>
      </w:pPr>
      <w:r>
        <w:t>a) un riferimento all'avviso di indizione di gara pubblicato;</w:t>
      </w:r>
    </w:p>
    <w:p w14:paraId="095BF756" w14:textId="77777777" w:rsidR="003A0CA5" w:rsidRDefault="003A0CA5" w:rsidP="003A0CA5">
      <w:pPr>
        <w:shd w:val="clear" w:color="auto" w:fill="F2F2F2"/>
      </w:pPr>
      <w:r>
        <w:t>b) il termine per la ricezione delle offerte, la piattaforma digitale ove è possibile compilare la domanda di partecipazione alla gara e la lingua o le lingue in cui devono essere redatte;</w:t>
      </w:r>
    </w:p>
    <w:p w14:paraId="282C5FF5" w14:textId="77777777" w:rsidR="003A0CA5" w:rsidRDefault="003A0CA5" w:rsidP="003A0CA5">
      <w:pPr>
        <w:shd w:val="clear" w:color="auto" w:fill="F2F2F2"/>
      </w:pPr>
      <w:r>
        <w:t>c) in caso di dialogo competitivo, la data stabilita e l'indirizzo o piattaforma per l'inizio della fase della consultazione, nonché la lingua o le lingue utilizzate;</w:t>
      </w:r>
    </w:p>
    <w:p w14:paraId="4969F8F2" w14:textId="77777777" w:rsidR="003A0CA5" w:rsidRDefault="003A0CA5" w:rsidP="003A0CA5">
      <w:pPr>
        <w:shd w:val="clear" w:color="auto" w:fill="F2F2F2"/>
      </w:pPr>
      <w:r>
        <w:t>d) l'indicazione dei documenti eventualmente da allegare a sostegno delle dichiarazioni verificabili o a integrazione delle informazioni fornite dal candidato conformemente agli articoli 91, 102 del codice e all’allegato II.8 al codice;</w:t>
      </w:r>
    </w:p>
    <w:p w14:paraId="01802593" w14:textId="77777777" w:rsidR="003A0CA5" w:rsidRDefault="003A0CA5" w:rsidP="003A0CA5">
      <w:pPr>
        <w:shd w:val="clear" w:color="auto" w:fill="F2F2F2"/>
      </w:pPr>
      <w:r>
        <w:t>e) la ponderazione relativa dei criteri di aggiudicazione dell'appalto, oppure, all'occorrenza, l'ordine decrescente di importanza di tali criteri, se essi non figurano nel bando di gara, nell'invito a confermare interesse, nelle specifiche tecniche o nel documento descrittivo.</w:t>
      </w:r>
    </w:p>
    <w:p w14:paraId="2C2E1AB9" w14:textId="77777777" w:rsidR="003A0CA5" w:rsidRDefault="003A0CA5" w:rsidP="003A0CA5">
      <w:pPr>
        <w:shd w:val="clear" w:color="auto" w:fill="F2F2F2"/>
      </w:pPr>
      <w:r>
        <w:t>Tuttavia, per gli appalti aggiudicati mediante un dialogo competitivo o un partenariato per l'innovazione, le precisazioni di cui alla lettera b) non figurano nell'invito a partecipare al dialogo, o a negoziare bensì nell'invito a presentare un'offerta.</w:t>
      </w:r>
    </w:p>
    <w:p w14:paraId="7FC3E606" w14:textId="77777777" w:rsidR="003A0CA5" w:rsidRDefault="003A0CA5" w:rsidP="003A0CA5">
      <w:pPr>
        <w:shd w:val="clear" w:color="auto" w:fill="F2F2F2"/>
      </w:pPr>
    </w:p>
    <w:p w14:paraId="195C7014" w14:textId="77777777" w:rsidR="003A0CA5" w:rsidRDefault="003A0CA5" w:rsidP="003A0CA5">
      <w:pPr>
        <w:shd w:val="clear" w:color="auto" w:fill="F2F2F2"/>
      </w:pPr>
      <w:r>
        <w:t>2. Quando viene indetta una gara per mezzo di un avviso di pre-informazione, le stazioni appaltanti invitano poi tutti i candidati a confermare il loro interesse in base alle informazioni particolareggiate relative all'appalto in questione prima di iniziare la selezione degli offerenti o dei partecipanti a una trattativa.</w:t>
      </w:r>
    </w:p>
    <w:p w14:paraId="0A445CC0" w14:textId="77777777" w:rsidR="003A0CA5" w:rsidRDefault="003A0CA5" w:rsidP="003A0CA5">
      <w:pPr>
        <w:shd w:val="clear" w:color="auto" w:fill="F2F2F2"/>
      </w:pPr>
      <w:r>
        <w:t>Tale invito comprende almeno le seguenti informazioni:</w:t>
      </w:r>
    </w:p>
    <w:p w14:paraId="7BA6EF0A" w14:textId="77777777" w:rsidR="003A0CA5" w:rsidRDefault="003A0CA5" w:rsidP="003A0CA5">
      <w:pPr>
        <w:shd w:val="clear" w:color="auto" w:fill="F2F2F2"/>
      </w:pPr>
    </w:p>
    <w:p w14:paraId="4E2D42CD" w14:textId="77777777" w:rsidR="003A0CA5" w:rsidRDefault="003A0CA5" w:rsidP="003A0CA5">
      <w:pPr>
        <w:shd w:val="clear" w:color="auto" w:fill="F2F2F2"/>
      </w:pPr>
      <w:r>
        <w:t>a) natura e quantità, comprese tutte le opzioni riguardanti appalti complementari e, se possibile, il termine previsto per esercitarle; in caso di appalti rinnovabili, natura e quantità e, se possibile, termine previsto per la pubblicazione dei successivi bandi di gara per i lavori, le forniture o i servizi oggetto dell'appalto;</w:t>
      </w:r>
    </w:p>
    <w:p w14:paraId="3968892A" w14:textId="77777777" w:rsidR="003A0CA5" w:rsidRDefault="003A0CA5" w:rsidP="003A0CA5">
      <w:pPr>
        <w:shd w:val="clear" w:color="auto" w:fill="F2F2F2"/>
      </w:pPr>
      <w:r>
        <w:t>b) tipo di procedura: procedura ristretta o procedura competitiva con negoziazione;</w:t>
      </w:r>
    </w:p>
    <w:p w14:paraId="7A62F02A" w14:textId="77777777" w:rsidR="003A0CA5" w:rsidRDefault="003A0CA5" w:rsidP="003A0CA5">
      <w:pPr>
        <w:shd w:val="clear" w:color="auto" w:fill="F2F2F2"/>
      </w:pPr>
      <w:r>
        <w:t>c) eventualmente, la data in cui deve iniziare o terminare la consegna delle forniture o l'esecuzione dei lavori o dei servizi;</w:t>
      </w:r>
    </w:p>
    <w:p w14:paraId="40A46847" w14:textId="77777777" w:rsidR="003A0CA5" w:rsidRDefault="003A0CA5" w:rsidP="003A0CA5">
      <w:pPr>
        <w:shd w:val="clear" w:color="auto" w:fill="F2F2F2"/>
      </w:pPr>
      <w:r>
        <w:t>d) ove non si possa offrire un accesso elettronico, indirizzo e termine ultimo per il deposito delle domande di documenti di gara nonché la lingua o le lingue in cui esse devono essere redatte;</w:t>
      </w:r>
    </w:p>
    <w:p w14:paraId="7E4150B8" w14:textId="77777777" w:rsidR="003A0CA5" w:rsidRDefault="003A0CA5" w:rsidP="003A0CA5">
      <w:pPr>
        <w:shd w:val="clear" w:color="auto" w:fill="F2F2F2"/>
      </w:pPr>
      <w:r>
        <w:t>e) indirizzo della stazione appaltante che aggiudica l'appalto;</w:t>
      </w:r>
    </w:p>
    <w:p w14:paraId="2AC29663" w14:textId="77777777" w:rsidR="003A0CA5" w:rsidRDefault="003A0CA5" w:rsidP="003A0CA5">
      <w:pPr>
        <w:shd w:val="clear" w:color="auto" w:fill="F2F2F2"/>
      </w:pPr>
      <w:r>
        <w:t>f) condizioni di carattere economico e tecnico, garanzie finanziarie e informazioni richieste agli operatori economici;</w:t>
      </w:r>
    </w:p>
    <w:p w14:paraId="06100B0A" w14:textId="77777777" w:rsidR="003A0CA5" w:rsidRDefault="003A0CA5" w:rsidP="003A0CA5">
      <w:pPr>
        <w:shd w:val="clear" w:color="auto" w:fill="F2F2F2"/>
      </w:pPr>
      <w:r>
        <w:t>g) forma dell'appalto oggetto della gara: acquisto, locazione finanziaria, locazione o acquisto a riscatto o più d'una fra queste forme;</w:t>
      </w:r>
    </w:p>
    <w:p w14:paraId="30844584" w14:textId="77777777" w:rsidR="003A0CA5" w:rsidRDefault="003A0CA5" w:rsidP="003A0CA5">
      <w:pPr>
        <w:shd w:val="clear" w:color="auto" w:fill="F2F2F2"/>
      </w:pPr>
      <w:r>
        <w:t>h) i criteri di aggiudicazione dell'appalto e la loro ponderazione o, se del caso, l'ordine d'importanza degli stessi, ove queste informazioni non compaiano nell'avviso di pre-informazione o nelle specifiche tecniche o nell'invito a presentare offerte o a partecipare a una negoziazione.</w:t>
      </w:r>
    </w:p>
    <w:p w14:paraId="5D6BAC59" w14:textId="77777777" w:rsidR="003A0CA5" w:rsidRDefault="003A0CA5" w:rsidP="003A0CA5">
      <w:pPr>
        <w:shd w:val="clear" w:color="auto" w:fill="F2F2F2"/>
      </w:pPr>
    </w:p>
    <w:p w14:paraId="06BFB28B" w14:textId="77777777" w:rsidR="003A0CA5" w:rsidRDefault="003A0CA5" w:rsidP="003A0CA5">
      <w:pPr>
        <w:shd w:val="clear" w:color="auto" w:fill="F2F2F2"/>
      </w:pPr>
      <w:r>
        <w:t>PARTE II - Contenuto degli inviti a presentare offerte, a partecipare al dialogo, a negoziare o a confermare interesse, previsti per i settori speciali di cui all'articolo 165 del codice.</w:t>
      </w:r>
    </w:p>
    <w:p w14:paraId="03313AAB" w14:textId="77777777" w:rsidR="003A0CA5" w:rsidRDefault="003A0CA5" w:rsidP="003A0CA5">
      <w:pPr>
        <w:shd w:val="clear" w:color="auto" w:fill="F2F2F2"/>
      </w:pPr>
    </w:p>
    <w:p w14:paraId="12A46021" w14:textId="77777777" w:rsidR="003A0CA5" w:rsidRDefault="003A0CA5" w:rsidP="003A0CA5">
      <w:pPr>
        <w:shd w:val="clear" w:color="auto" w:fill="F2F2F2"/>
      </w:pPr>
      <w:r>
        <w:lastRenderedPageBreak/>
        <w:t>1. L'invito a presentare un'offerta, a partecipare al dialogo o a negoziare ai sensi dell'articolo 165 del codice deve contenere almeno:</w:t>
      </w:r>
    </w:p>
    <w:p w14:paraId="470899B2" w14:textId="77777777" w:rsidR="003A0CA5" w:rsidRDefault="003A0CA5" w:rsidP="003A0CA5">
      <w:pPr>
        <w:shd w:val="clear" w:color="auto" w:fill="F2F2F2"/>
      </w:pPr>
    </w:p>
    <w:p w14:paraId="2FFD2BFD" w14:textId="77777777" w:rsidR="003A0CA5" w:rsidRDefault="003A0CA5" w:rsidP="003A0CA5">
      <w:pPr>
        <w:shd w:val="clear" w:color="auto" w:fill="F2F2F2"/>
      </w:pPr>
      <w:r>
        <w:t>a) il termine ultimo per la ricezione delle offerte, l'indirizzo al quale esse devono essere trasmesse e la lingua o le lingue in cui devono essere redatte.</w:t>
      </w:r>
    </w:p>
    <w:p w14:paraId="1E8D5916" w14:textId="77777777" w:rsidR="003A0CA5" w:rsidRDefault="003A0CA5" w:rsidP="003A0CA5">
      <w:pPr>
        <w:shd w:val="clear" w:color="auto" w:fill="F2F2F2"/>
      </w:pPr>
      <w:r>
        <w:t>Tuttavia, nel caso di contratti aggiudicati tramite un dialogo competitivo o un partenariato per l'innovazione, tali informazioni non figurano nell'invito a partecipare a una trattativa, bensì nell'invito a presentare un'offerta;</w:t>
      </w:r>
    </w:p>
    <w:p w14:paraId="2F9F621B" w14:textId="77777777" w:rsidR="003A0CA5" w:rsidRDefault="003A0CA5" w:rsidP="003A0CA5">
      <w:pPr>
        <w:shd w:val="clear" w:color="auto" w:fill="F2F2F2"/>
      </w:pPr>
      <w:r>
        <w:t>b) in caso di dialogo competitivo, la data stabilita e l'indirizzo per l'inizio della fase della consultazione, nonché la lingua o le lingue utilizzate;</w:t>
      </w:r>
    </w:p>
    <w:p w14:paraId="108379BB" w14:textId="77777777" w:rsidR="003A0CA5" w:rsidRDefault="003A0CA5" w:rsidP="003A0CA5">
      <w:pPr>
        <w:shd w:val="clear" w:color="auto" w:fill="F2F2F2"/>
      </w:pPr>
      <w:r>
        <w:t>c) un riferimento a qualsiasi avviso di indizione di gara pubblicato;</w:t>
      </w:r>
    </w:p>
    <w:p w14:paraId="1EE1BF32" w14:textId="77777777" w:rsidR="003A0CA5" w:rsidRDefault="003A0CA5" w:rsidP="003A0CA5">
      <w:pPr>
        <w:shd w:val="clear" w:color="auto" w:fill="F2F2F2"/>
      </w:pPr>
      <w:r>
        <w:t>d) l'indicazione dei documenti eventualmente da allegare;</w:t>
      </w:r>
    </w:p>
    <w:p w14:paraId="5570A6D9" w14:textId="77777777" w:rsidR="003A0CA5" w:rsidRDefault="003A0CA5" w:rsidP="003A0CA5">
      <w:pPr>
        <w:shd w:val="clear" w:color="auto" w:fill="F2F2F2"/>
      </w:pPr>
      <w:r>
        <w:t>e) i criteri di aggiudicazione dell'appalto se non compaiono nell'avviso relativo all'esistenza di un sistema di qualificazione con cui si indice la gara;</w:t>
      </w:r>
    </w:p>
    <w:p w14:paraId="5DBDA9D3" w14:textId="77777777" w:rsidR="003A0CA5" w:rsidRDefault="003A0CA5" w:rsidP="003A0CA5">
      <w:pPr>
        <w:shd w:val="clear" w:color="auto" w:fill="F2F2F2"/>
      </w:pPr>
      <w:r>
        <w:t>f) la ponderazione relativa dei criteri di aggiudicazione dell'appalto oppure, all'occorrenza, l'ordine di importanza di tali criteri, se queste informazioni non figurano nel bando di gara, nell'avviso relativo all'esistenza di un sistema di qualificazione o nel capitolato d'oneri.</w:t>
      </w:r>
    </w:p>
    <w:p w14:paraId="5028D912" w14:textId="77777777" w:rsidR="003A0CA5" w:rsidRDefault="003A0CA5" w:rsidP="003A0CA5">
      <w:pPr>
        <w:shd w:val="clear" w:color="auto" w:fill="F2F2F2"/>
      </w:pPr>
    </w:p>
    <w:p w14:paraId="4A1C6413" w14:textId="77777777" w:rsidR="003A0CA5" w:rsidRDefault="003A0CA5" w:rsidP="003A0CA5">
      <w:pPr>
        <w:shd w:val="clear" w:color="auto" w:fill="F2F2F2"/>
      </w:pPr>
      <w:r>
        <w:t>2. Quando viene indetta una gara per mezzo di un avviso periodico indicativo le stazioni appaltanti o gli enti concedenti invitano poi tutti i candidati a confermare il loro interesse in base alle informazioni particolareggiate relative all'appalto in questione prima di iniziare la selezione degli offerenti o dei partecipanti a un negoziato.</w:t>
      </w:r>
    </w:p>
    <w:p w14:paraId="3E381341" w14:textId="77777777" w:rsidR="003A0CA5" w:rsidRDefault="003A0CA5" w:rsidP="003A0CA5">
      <w:pPr>
        <w:shd w:val="clear" w:color="auto" w:fill="F2F2F2"/>
      </w:pPr>
    </w:p>
    <w:p w14:paraId="0847831A" w14:textId="77777777" w:rsidR="003A0CA5" w:rsidRDefault="003A0CA5" w:rsidP="003A0CA5">
      <w:pPr>
        <w:shd w:val="clear" w:color="auto" w:fill="F2F2F2"/>
      </w:pPr>
      <w:r>
        <w:t>3. L'invito comprende almeno tutte le seguenti informazioni:</w:t>
      </w:r>
    </w:p>
    <w:p w14:paraId="3A7D31CC" w14:textId="77777777" w:rsidR="003A0CA5" w:rsidRDefault="003A0CA5" w:rsidP="003A0CA5">
      <w:pPr>
        <w:shd w:val="clear" w:color="auto" w:fill="F2F2F2"/>
      </w:pPr>
    </w:p>
    <w:p w14:paraId="6FEC1F2C" w14:textId="77777777" w:rsidR="003A0CA5" w:rsidRDefault="003A0CA5" w:rsidP="003A0CA5">
      <w:pPr>
        <w:shd w:val="clear" w:color="auto" w:fill="F2F2F2"/>
      </w:pPr>
      <w:r>
        <w:t>a) natura e quantità, comprese tutte le opzioni riguardanti appalti complementari e, se possibile, il termine previsto per esercitarle; in caso di appalti rinnovabili, natura e quantità e, se possibile, termine previsto per la pubblicazione dei successivi bandi di gara per i lavori, le forniture o i servizi oggetto dell'appalto;</w:t>
      </w:r>
    </w:p>
    <w:p w14:paraId="5074C070" w14:textId="77777777" w:rsidR="003A0CA5" w:rsidRDefault="003A0CA5" w:rsidP="003A0CA5">
      <w:pPr>
        <w:shd w:val="clear" w:color="auto" w:fill="F2F2F2"/>
      </w:pPr>
      <w:r>
        <w:t>b) tipo di procedura: ristretta o negoziata;</w:t>
      </w:r>
    </w:p>
    <w:p w14:paraId="2A07606E" w14:textId="77777777" w:rsidR="003A0CA5" w:rsidRDefault="003A0CA5" w:rsidP="003A0CA5">
      <w:pPr>
        <w:shd w:val="clear" w:color="auto" w:fill="F2F2F2"/>
      </w:pPr>
      <w:r>
        <w:t>c) eventualmente, la data in cui deve iniziare o terminare la consegna delle forniture o l'esecuzione dei lavori o dei servizi;</w:t>
      </w:r>
    </w:p>
    <w:p w14:paraId="780B2A55" w14:textId="77777777" w:rsidR="003A0CA5" w:rsidRDefault="003A0CA5" w:rsidP="003A0CA5">
      <w:pPr>
        <w:shd w:val="clear" w:color="auto" w:fill="F2F2F2"/>
      </w:pPr>
      <w:r>
        <w:t>d) ove non si possa offrire un accesso elettronico, indirizzo e termine ultimo per il deposito delle domande di documenti di gara nonché la lingua o le lingue in cui esse devono essere redatte;</w:t>
      </w:r>
    </w:p>
    <w:p w14:paraId="5F63FEEE" w14:textId="77777777" w:rsidR="003A0CA5" w:rsidRDefault="003A0CA5" w:rsidP="003A0CA5">
      <w:pPr>
        <w:shd w:val="clear" w:color="auto" w:fill="F2F2F2"/>
      </w:pPr>
      <w:r>
        <w:t>e) l'indirizzo della stazione appaltante o dell’ente concedente;</w:t>
      </w:r>
    </w:p>
    <w:p w14:paraId="1A37DAA3" w14:textId="77777777" w:rsidR="003A0CA5" w:rsidRDefault="003A0CA5" w:rsidP="003A0CA5">
      <w:pPr>
        <w:shd w:val="clear" w:color="auto" w:fill="F2F2F2"/>
      </w:pPr>
      <w:r>
        <w:t>f) condizioni di carattere economico e tecnico, garanzie finanziarie e informazioni richieste agli operatori economici;</w:t>
      </w:r>
    </w:p>
    <w:p w14:paraId="6BCB6173" w14:textId="77777777" w:rsidR="003A0CA5" w:rsidRDefault="003A0CA5" w:rsidP="003A0CA5">
      <w:pPr>
        <w:shd w:val="clear" w:color="auto" w:fill="F2F2F2"/>
      </w:pPr>
      <w:r>
        <w:t>g) forma dell'appalto oggetto dell'invito a presentare offerte: acquisto, locazione finanziaria, locazione o acquisto a riscatto o più d'una fra queste forme; e</w:t>
      </w:r>
    </w:p>
    <w:p w14:paraId="422E742D" w14:textId="7466687E" w:rsidR="001E0D22" w:rsidRDefault="003A0CA5" w:rsidP="003A0CA5">
      <w:pPr>
        <w:shd w:val="clear" w:color="auto" w:fill="F2F2F2" w:themeFill="background1" w:themeFillShade="F2"/>
      </w:pPr>
      <w:r>
        <w:t>h) i criteri di aggiudicazione dell'appalto e la loro ponderazione o, se del caso, l'ordine d'importanza degli stessi, ove queste informazioni non compaiano nell'avviso indicativo o nel capitolato d'oneri o nell'invito a presentare offerte oppure a partecipare a una trattativa.</w:t>
      </w:r>
    </w:p>
    <w:p w14:paraId="3E470DA8" w14:textId="33B9C10E" w:rsidR="003A0CA5" w:rsidRDefault="003A0CA5" w:rsidP="00392637">
      <w:r>
        <w:t>In sede di prima applicazione del codice, l’allegato II.9 è abrogato a decorrere dalla data di entrata in vigore di un corrispondente regolamento adottato ai sensi dell’articolo 17, comma 3, della legge 23 agosto 1988, n. 400, con decreto del Ministro delle infrastrutture e dei trasporti, che lo sostituisce integralmente anche in qualità di allegato al codice.</w:t>
      </w:r>
    </w:p>
    <w:p w14:paraId="50817107" w14:textId="28B7F188" w:rsidR="00392637" w:rsidRDefault="00392637" w:rsidP="00392637">
      <w:r>
        <w:t xml:space="preserve">Gli inviti sono corredati dei documenti di gara se non sono stati resi disponibili ai sensi dell’articolo 88. </w:t>
      </w:r>
      <w:bookmarkEnd w:id="0"/>
    </w:p>
    <w:sectPr w:rsidR="00392637" w:rsidSect="009308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tillium">
    <w:altName w:val="Liberation Mono"/>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eb">
    <w:altName w:val="Times New Roman"/>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0">
    <w:panose1 w:val="00000000000000000000"/>
    <w:charset w:val="00"/>
    <w:family w:val="roman"/>
    <w:notTrueType/>
    <w:pitch w:val="default"/>
  </w:font>
  <w:font w:name="Gotham Light">
    <w:altName w:val="Calibri"/>
    <w:panose1 w:val="00000000000000000000"/>
    <w:charset w:val="00"/>
    <w:family w:val="modern"/>
    <w:notTrueType/>
    <w:pitch w:val="variable"/>
    <w:sig w:usb0="A00000AF" w:usb1="50000048" w:usb2="00000000" w:usb3="00000000" w:csb0="00000111" w:csb1="00000000"/>
  </w:font>
  <w:font w:name="Gotham Book">
    <w:panose1 w:val="00000000000000000000"/>
    <w:charset w:val="00"/>
    <w:family w:val="modern"/>
    <w:notTrueType/>
    <w:pitch w:val="variable"/>
    <w:sig w:usb0="A00000AF" w:usb1="50000048" w:usb2="00000000" w:usb3="00000000" w:csb0="00000111" w:csb1="00000000"/>
  </w:font>
  <w:font w:name="Times New Roman (Corpo CS)">
    <w:altName w:val="Times New Roman"/>
    <w:panose1 w:val="00000000000000000000"/>
    <w:charset w:val="00"/>
    <w:family w:val="roman"/>
    <w:notTrueType/>
    <w:pitch w:val="default"/>
  </w:font>
  <w:font w:name="Gotham Medium">
    <w:altName w:val="Calibri"/>
    <w:charset w:val="00"/>
    <w:family w:val="auto"/>
    <w:pitch w:val="variable"/>
    <w:sig w:usb0="800000AF" w:usb1="40000048" w:usb2="00000000" w:usb3="00000000" w:csb0="0000011B" w:csb1="00000000"/>
  </w:font>
  <w:font w:name="Minion Pro">
    <w:altName w:val="Times New Roman"/>
    <w:panose1 w:val="00000000000000000000"/>
    <w:charset w:val="00"/>
    <w:family w:val="roman"/>
    <w:notTrueType/>
    <w:pitch w:val="variable"/>
    <w:sig w:usb0="60000287" w:usb1="00000001" w:usb2="00000000"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EUAlbertina">
    <w:altName w:val="Times New Roman"/>
    <w:charset w:val="00"/>
    <w:family w:val="roman"/>
    <w:pitch w:val="variable"/>
  </w:font>
  <w:font w:name="Liberation Mono">
    <w:altName w:val="Times New Roman"/>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CEC5D2E"/>
    <w:multiLevelType w:val="hybridMultilevel"/>
    <w:tmpl w:val="0DE68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3528FF"/>
    <w:multiLevelType w:val="multilevel"/>
    <w:tmpl w:val="E3C0BE70"/>
    <w:lvl w:ilvl="0">
      <w:start w:val="1"/>
      <w:numFmt w:val="decimal"/>
      <w:lvlText w:val="%1."/>
      <w:lvlJc w:val="left"/>
      <w:pPr>
        <w:ind w:left="502" w:hanging="360"/>
      </w:pPr>
      <w:rPr>
        <w:rFonts w:ascii="Titillium" w:hAnsi="Titillium" w:hint="default"/>
        <w:b/>
        <w:i w:val="0"/>
        <w:sz w:val="18"/>
        <w:szCs w:val="18"/>
      </w:rPr>
    </w:lvl>
    <w:lvl w:ilvl="1">
      <w:start w:val="1"/>
      <w:numFmt w:val="decimal"/>
      <w:lvlText w:val="%2.2."/>
      <w:lvlJc w:val="left"/>
      <w:pPr>
        <w:ind w:left="567" w:hanging="283"/>
      </w:pPr>
      <w:rPr>
        <w:rFonts w:ascii="Titillium" w:hAnsi="Titillium" w:hint="default"/>
        <w:sz w:val="18"/>
        <w:szCs w:val="1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CC4F08"/>
    <w:multiLevelType w:val="hybridMultilevel"/>
    <w:tmpl w:val="6EBCC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5B36BF"/>
    <w:multiLevelType w:val="multilevel"/>
    <w:tmpl w:val="2D6C0BC2"/>
    <w:lvl w:ilvl="0">
      <w:start w:val="1"/>
      <w:numFmt w:val="lowerLetter"/>
      <w:lvlText w:val="%1)"/>
      <w:lvlJc w:val="left"/>
      <w:pPr>
        <w:ind w:left="1287" w:hanging="360"/>
      </w:pPr>
      <w:rPr>
        <w:rFonts w:ascii="Titillium" w:hAnsi="Titillium" w:hint="default"/>
        <w:sz w:val="18"/>
        <w:szCs w:val="1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92"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1C20C1"/>
    <w:multiLevelType w:val="multilevel"/>
    <w:tmpl w:val="494AEE94"/>
    <w:lvl w:ilvl="0">
      <w:start w:val="1"/>
      <w:numFmt w:val="decimal"/>
      <w:lvlText w:val="%1)"/>
      <w:lvlJc w:val="left"/>
      <w:pPr>
        <w:ind w:left="720" w:hanging="360"/>
      </w:pPr>
      <w:rPr>
        <w:rFonts w:ascii="Titillium" w:hAnsi="Titillium" w:hint="default"/>
        <w:b w:val="0"/>
        <w:i w:val="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53F40F2"/>
    <w:multiLevelType w:val="hybridMultilevel"/>
    <w:tmpl w:val="7C380808"/>
    <w:lvl w:ilvl="0" w:tplc="04100017">
      <w:start w:val="1"/>
      <w:numFmt w:val="lowerLetter"/>
      <w:lvlText w:val="%1)"/>
      <w:lvlJc w:val="left"/>
      <w:pPr>
        <w:ind w:left="1146" w:hanging="360"/>
      </w:pPr>
    </w:lvl>
    <w:lvl w:ilvl="1" w:tplc="359E4AD2">
      <w:start w:val="1"/>
      <w:numFmt w:val="bullet"/>
      <w:lvlText w:val=""/>
      <w:lvlJc w:val="left"/>
      <w:pPr>
        <w:ind w:left="862" w:hanging="360"/>
      </w:pPr>
      <w:rPr>
        <w:rFonts w:ascii="Symbol" w:hAnsi="Symbol"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160C11DD"/>
    <w:multiLevelType w:val="multilevel"/>
    <w:tmpl w:val="DF22E0F8"/>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8732279"/>
    <w:multiLevelType w:val="multilevel"/>
    <w:tmpl w:val="FA76456A"/>
    <w:lvl w:ilvl="0">
      <w:start w:val="1"/>
      <w:numFmt w:val="lowerRoman"/>
      <w:lvlText w:val="%1."/>
      <w:lvlJc w:val="right"/>
      <w:pPr>
        <w:ind w:left="1637" w:hanging="360"/>
      </w:pPr>
      <w:rPr>
        <w:rFonts w:hint="default"/>
        <w:color w:val="000000" w:themeColor="text1"/>
        <w:sz w:val="18"/>
        <w:szCs w:val="18"/>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15"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AF864C9"/>
    <w:multiLevelType w:val="multilevel"/>
    <w:tmpl w:val="8F30D0D2"/>
    <w:lvl w:ilvl="0">
      <w:start w:val="7"/>
      <w:numFmt w:val="lowerLetter"/>
      <w:lvlText w:val="%1)"/>
      <w:lvlJc w:val="left"/>
      <w:pPr>
        <w:tabs>
          <w:tab w:val="num" w:pos="360"/>
        </w:tabs>
        <w:ind w:left="360" w:hanging="360"/>
      </w:pPr>
      <w:rPr>
        <w:rFonts w:ascii="Titillium" w:hAnsi="Titillium" w:hint="default"/>
        <w:sz w:val="18"/>
        <w:szCs w:val="18"/>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8" w15:restartNumberingAfterBreak="0">
    <w:nsid w:val="1F7B6247"/>
    <w:multiLevelType w:val="hybridMultilevel"/>
    <w:tmpl w:val="AC9C72B4"/>
    <w:lvl w:ilvl="0" w:tplc="FF98058C">
      <w:start w:val="1"/>
      <w:numFmt w:val="lowerLetter"/>
      <w:lvlText w:val="%1)"/>
      <w:lvlJc w:val="left"/>
      <w:pPr>
        <w:ind w:left="720" w:hanging="360"/>
      </w:pPr>
      <w:rPr>
        <w:rFonts w:ascii="Titillium" w:hAnsi="Titillium" w:hint="default"/>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F8E4611"/>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099510F"/>
    <w:multiLevelType w:val="hybridMultilevel"/>
    <w:tmpl w:val="F86608A6"/>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2537744"/>
    <w:multiLevelType w:val="multilevel"/>
    <w:tmpl w:val="FA7E523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1516FD"/>
    <w:multiLevelType w:val="hybridMultilevel"/>
    <w:tmpl w:val="2EF82676"/>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D97C60"/>
    <w:multiLevelType w:val="hybridMultilevel"/>
    <w:tmpl w:val="8D300C58"/>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5F02F7B"/>
    <w:multiLevelType w:val="hybridMultilevel"/>
    <w:tmpl w:val="76867E6C"/>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E330AA9"/>
    <w:multiLevelType w:val="multilevel"/>
    <w:tmpl w:val="4D5C51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443362"/>
    <w:multiLevelType w:val="multilevel"/>
    <w:tmpl w:val="004CE674"/>
    <w:lvl w:ilvl="0">
      <w:start w:val="3"/>
      <w:numFmt w:val="decimal"/>
      <w:lvlText w:val="%1."/>
      <w:lvlJc w:val="left"/>
      <w:pPr>
        <w:ind w:left="450" w:hanging="450"/>
      </w:pPr>
      <w:rPr>
        <w:rFonts w:ascii="Titillium" w:hAnsi="Titillium" w:hint="default"/>
        <w:sz w:val="18"/>
      </w:rPr>
    </w:lvl>
    <w:lvl w:ilvl="1">
      <w:start w:val="2"/>
      <w:numFmt w:val="decimal"/>
      <w:lvlText w:val="%1.%2."/>
      <w:lvlJc w:val="left"/>
      <w:pPr>
        <w:ind w:left="3484" w:hanging="720"/>
      </w:pPr>
      <w:rPr>
        <w:rFonts w:ascii="Titillium" w:hAnsi="Titillium" w:hint="default"/>
        <w:sz w:val="18"/>
      </w:rPr>
    </w:lvl>
    <w:lvl w:ilvl="2">
      <w:start w:val="2"/>
      <w:numFmt w:val="decimal"/>
      <w:lvlText w:val="%1.%2.%3."/>
      <w:lvlJc w:val="left"/>
      <w:pPr>
        <w:ind w:left="6248" w:hanging="720"/>
      </w:pPr>
      <w:rPr>
        <w:rFonts w:ascii="Titillium" w:hAnsi="Titillium" w:hint="default"/>
        <w:sz w:val="18"/>
      </w:rPr>
    </w:lvl>
    <w:lvl w:ilvl="3">
      <w:start w:val="1"/>
      <w:numFmt w:val="decimal"/>
      <w:lvlText w:val="%1.%2.%3.%4."/>
      <w:lvlJc w:val="left"/>
      <w:pPr>
        <w:ind w:left="9372" w:hanging="1080"/>
      </w:pPr>
      <w:rPr>
        <w:rFonts w:ascii="Titillium" w:hAnsi="Titillium" w:hint="default"/>
        <w:sz w:val="18"/>
      </w:rPr>
    </w:lvl>
    <w:lvl w:ilvl="4">
      <w:start w:val="1"/>
      <w:numFmt w:val="decimal"/>
      <w:lvlText w:val="%1.%2.%3.%4.%5."/>
      <w:lvlJc w:val="left"/>
      <w:pPr>
        <w:ind w:left="12136" w:hanging="1080"/>
      </w:pPr>
      <w:rPr>
        <w:rFonts w:ascii="Titillium" w:hAnsi="Titillium" w:hint="default"/>
        <w:sz w:val="18"/>
      </w:rPr>
    </w:lvl>
    <w:lvl w:ilvl="5">
      <w:start w:val="1"/>
      <w:numFmt w:val="decimal"/>
      <w:lvlText w:val="%1.%2.%3.%4.%5.%6."/>
      <w:lvlJc w:val="left"/>
      <w:pPr>
        <w:ind w:left="15260" w:hanging="1440"/>
      </w:pPr>
      <w:rPr>
        <w:rFonts w:ascii="Titillium" w:hAnsi="Titillium" w:hint="default"/>
        <w:sz w:val="18"/>
      </w:rPr>
    </w:lvl>
    <w:lvl w:ilvl="6">
      <w:start w:val="1"/>
      <w:numFmt w:val="decimal"/>
      <w:lvlText w:val="%1.%2.%3.%4.%5.%6.%7."/>
      <w:lvlJc w:val="left"/>
      <w:pPr>
        <w:ind w:left="18024" w:hanging="1440"/>
      </w:pPr>
      <w:rPr>
        <w:rFonts w:ascii="Titillium" w:hAnsi="Titillium" w:hint="default"/>
        <w:sz w:val="18"/>
      </w:rPr>
    </w:lvl>
    <w:lvl w:ilvl="7">
      <w:start w:val="1"/>
      <w:numFmt w:val="decimal"/>
      <w:lvlText w:val="%1.%2.%3.%4.%5.%6.%7.%8."/>
      <w:lvlJc w:val="left"/>
      <w:pPr>
        <w:ind w:left="21148" w:hanging="1800"/>
      </w:pPr>
      <w:rPr>
        <w:rFonts w:ascii="Titillium" w:hAnsi="Titillium" w:hint="default"/>
        <w:sz w:val="18"/>
      </w:rPr>
    </w:lvl>
    <w:lvl w:ilvl="8">
      <w:start w:val="1"/>
      <w:numFmt w:val="decimal"/>
      <w:lvlText w:val="%1.%2.%3.%4.%5.%6.%7.%8.%9."/>
      <w:lvlJc w:val="left"/>
      <w:pPr>
        <w:ind w:left="24272" w:hanging="2160"/>
      </w:pPr>
      <w:rPr>
        <w:rFonts w:ascii="Titillium" w:hAnsi="Titillium" w:hint="default"/>
        <w:sz w:val="18"/>
      </w:rPr>
    </w:lvl>
  </w:abstractNum>
  <w:abstractNum w:abstractNumId="27" w15:restartNumberingAfterBreak="0">
    <w:nsid w:val="2E45527D"/>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DF5FE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F824D34"/>
    <w:multiLevelType w:val="multilevel"/>
    <w:tmpl w:val="28D86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CA0CCB"/>
    <w:multiLevelType w:val="multilevel"/>
    <w:tmpl w:val="C6B6C70C"/>
    <w:lvl w:ilvl="0">
      <w:start w:val="1"/>
      <w:numFmt w:val="lowerLetter"/>
      <w:lvlText w:val="%1)"/>
      <w:lvlJc w:val="left"/>
      <w:pPr>
        <w:ind w:left="928" w:hanging="360"/>
      </w:pPr>
      <w:rPr>
        <w:rFonts w:ascii="Titillium" w:hAnsi="Titillium" w:hint="default"/>
        <w:i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314C624F"/>
    <w:multiLevelType w:val="multilevel"/>
    <w:tmpl w:val="5E7406CE"/>
    <w:lvl w:ilvl="0">
      <w:start w:val="1"/>
      <w:numFmt w:val="lowerLetter"/>
      <w:lvlText w:val="%1)"/>
      <w:lvlJc w:val="left"/>
      <w:pPr>
        <w:ind w:left="1146" w:hanging="360"/>
      </w:pPr>
      <w:rPr>
        <w:sz w:val="18"/>
        <w:szCs w:val="1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 w15:restartNumberingAfterBreak="0">
    <w:nsid w:val="32C90623"/>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33" w15:restartNumberingAfterBreak="0">
    <w:nsid w:val="35611AFF"/>
    <w:multiLevelType w:val="multilevel"/>
    <w:tmpl w:val="B13237EC"/>
    <w:lvl w:ilvl="0">
      <w:start w:val="1"/>
      <w:numFmt w:val="decimal"/>
      <w:lvlText w:val="%1."/>
      <w:lvlJc w:val="left"/>
      <w:pPr>
        <w:ind w:left="360" w:hanging="360"/>
      </w:pPr>
      <w:rPr>
        <w:b/>
        <w:i w:val="0"/>
        <w:sz w:val="18"/>
      </w:rPr>
    </w:lvl>
    <w:lvl w:ilvl="1">
      <w:start w:val="1"/>
      <w:numFmt w:val="decimal"/>
      <w:lvlText w:val="%1.%2"/>
      <w:lvlJc w:val="left"/>
      <w:pPr>
        <w:ind w:left="72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7CA7822"/>
    <w:multiLevelType w:val="hybridMultilevel"/>
    <w:tmpl w:val="E01E5DF4"/>
    <w:lvl w:ilvl="0" w:tplc="E9F01C92">
      <w:start w:val="14"/>
      <w:numFmt w:val="bullet"/>
      <w:lvlText w:val="-"/>
      <w:lvlJc w:val="left"/>
      <w:pPr>
        <w:ind w:left="2204" w:hanging="360"/>
      </w:pPr>
      <w:rPr>
        <w:rFonts w:ascii="Titillium" w:eastAsiaTheme="minorHAnsi" w:hAnsi="Titillium" w:cs="Titillium Web"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6" w15:restartNumberingAfterBreak="0">
    <w:nsid w:val="388C1B7C"/>
    <w:multiLevelType w:val="multilevel"/>
    <w:tmpl w:val="F6DE2BB2"/>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4049"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A8072F1"/>
    <w:multiLevelType w:val="multilevel"/>
    <w:tmpl w:val="595CA9C2"/>
    <w:lvl w:ilvl="0">
      <w:start w:val="12"/>
      <w:numFmt w:val="lowerLetter"/>
      <w:lvlText w:val="%1)"/>
      <w:lvlJc w:val="left"/>
      <w:pPr>
        <w:ind w:left="360" w:hanging="360"/>
      </w:pPr>
      <w:rPr>
        <w:rFonts w:ascii="Titillium" w:hAnsi="Titillium" w:hint="default"/>
        <w:b/>
        <w:i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3BAC6642"/>
    <w:multiLevelType w:val="hybridMultilevel"/>
    <w:tmpl w:val="95EC06A6"/>
    <w:lvl w:ilvl="0" w:tplc="04100017">
      <w:start w:val="1"/>
      <w:numFmt w:val="lowerLetter"/>
      <w:lvlText w:val="%1)"/>
      <w:lvlJc w:val="left"/>
      <w:pPr>
        <w:ind w:left="186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15426C"/>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F0613FA"/>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42" w15:restartNumberingAfterBreak="0">
    <w:nsid w:val="3F6B3A6E"/>
    <w:multiLevelType w:val="hybridMultilevel"/>
    <w:tmpl w:val="A760BE68"/>
    <w:lvl w:ilvl="0" w:tplc="DDCED728">
      <w:start w:val="1"/>
      <w:numFmt w:val="upp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43"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3F9E61BF"/>
    <w:multiLevelType w:val="hybridMultilevel"/>
    <w:tmpl w:val="5F48E318"/>
    <w:lvl w:ilvl="0" w:tplc="E9F01C92">
      <w:start w:val="14"/>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0A77BEB"/>
    <w:multiLevelType w:val="hybridMultilevel"/>
    <w:tmpl w:val="7398207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32B0BFD"/>
    <w:multiLevelType w:val="multilevel"/>
    <w:tmpl w:val="4860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3B1323A"/>
    <w:multiLevelType w:val="hybridMultilevel"/>
    <w:tmpl w:val="0E26115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F11CA0"/>
    <w:multiLevelType w:val="hybridMultilevel"/>
    <w:tmpl w:val="D23E14A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FD0447"/>
    <w:multiLevelType w:val="multilevel"/>
    <w:tmpl w:val="0792E2DA"/>
    <w:lvl w:ilvl="0">
      <w:start w:val="9"/>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A5C7CC9"/>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E210CCB"/>
    <w:multiLevelType w:val="hybridMultilevel"/>
    <w:tmpl w:val="78D62B3A"/>
    <w:lvl w:ilvl="0" w:tplc="359E4A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4" w15:restartNumberingAfterBreak="0">
    <w:nsid w:val="5075654F"/>
    <w:multiLevelType w:val="multilevel"/>
    <w:tmpl w:val="7B04E0E6"/>
    <w:lvl w:ilvl="0">
      <w:start w:val="1"/>
      <w:numFmt w:val="lowerLetter"/>
      <w:lvlText w:val="%1)"/>
      <w:lvlJc w:val="left"/>
      <w:pPr>
        <w:ind w:left="644" w:hanging="360"/>
      </w:pPr>
      <w:rPr>
        <w:rFonts w:ascii="Titillium" w:hAnsi="Titillium" w:hint="default"/>
        <w:sz w:val="18"/>
        <w:szCs w:val="1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15:restartNumberingAfterBreak="0">
    <w:nsid w:val="532E40DA"/>
    <w:multiLevelType w:val="hybridMultilevel"/>
    <w:tmpl w:val="2C0C31D6"/>
    <w:lvl w:ilvl="0" w:tplc="5680F672">
      <w:start w:val="1"/>
      <w:numFmt w:val="upperLetter"/>
      <w:lvlText w:val="%1)"/>
      <w:lvlJc w:val="left"/>
      <w:pPr>
        <w:ind w:left="3468" w:hanging="360"/>
      </w:pPr>
      <w:rPr>
        <w:rFonts w:ascii="Titillium" w:hAnsi="Titillium" w:hint="default"/>
        <w:b/>
        <w:sz w:val="18"/>
      </w:rPr>
    </w:lvl>
    <w:lvl w:ilvl="1" w:tplc="04090019" w:tentative="1">
      <w:start w:val="1"/>
      <w:numFmt w:val="lowerLetter"/>
      <w:lvlText w:val="%2."/>
      <w:lvlJc w:val="left"/>
      <w:pPr>
        <w:ind w:left="4188" w:hanging="360"/>
      </w:pPr>
    </w:lvl>
    <w:lvl w:ilvl="2" w:tplc="0409001B" w:tentative="1">
      <w:start w:val="1"/>
      <w:numFmt w:val="lowerRoman"/>
      <w:lvlText w:val="%3."/>
      <w:lvlJc w:val="right"/>
      <w:pPr>
        <w:ind w:left="4908" w:hanging="180"/>
      </w:pPr>
    </w:lvl>
    <w:lvl w:ilvl="3" w:tplc="0409000F" w:tentative="1">
      <w:start w:val="1"/>
      <w:numFmt w:val="decimal"/>
      <w:lvlText w:val="%4."/>
      <w:lvlJc w:val="left"/>
      <w:pPr>
        <w:ind w:left="5628" w:hanging="360"/>
      </w:pPr>
    </w:lvl>
    <w:lvl w:ilvl="4" w:tplc="04090019" w:tentative="1">
      <w:start w:val="1"/>
      <w:numFmt w:val="lowerLetter"/>
      <w:lvlText w:val="%5."/>
      <w:lvlJc w:val="left"/>
      <w:pPr>
        <w:ind w:left="6348" w:hanging="360"/>
      </w:pPr>
    </w:lvl>
    <w:lvl w:ilvl="5" w:tplc="0409001B" w:tentative="1">
      <w:start w:val="1"/>
      <w:numFmt w:val="lowerRoman"/>
      <w:lvlText w:val="%6."/>
      <w:lvlJc w:val="right"/>
      <w:pPr>
        <w:ind w:left="7068" w:hanging="180"/>
      </w:pPr>
    </w:lvl>
    <w:lvl w:ilvl="6" w:tplc="0409000F" w:tentative="1">
      <w:start w:val="1"/>
      <w:numFmt w:val="decimal"/>
      <w:lvlText w:val="%7."/>
      <w:lvlJc w:val="left"/>
      <w:pPr>
        <w:ind w:left="7788" w:hanging="360"/>
      </w:pPr>
    </w:lvl>
    <w:lvl w:ilvl="7" w:tplc="04090019" w:tentative="1">
      <w:start w:val="1"/>
      <w:numFmt w:val="lowerLetter"/>
      <w:lvlText w:val="%8."/>
      <w:lvlJc w:val="left"/>
      <w:pPr>
        <w:ind w:left="8508" w:hanging="360"/>
      </w:pPr>
    </w:lvl>
    <w:lvl w:ilvl="8" w:tplc="0409001B" w:tentative="1">
      <w:start w:val="1"/>
      <w:numFmt w:val="lowerRoman"/>
      <w:lvlText w:val="%9."/>
      <w:lvlJc w:val="right"/>
      <w:pPr>
        <w:ind w:left="9228" w:hanging="180"/>
      </w:pPr>
    </w:lvl>
  </w:abstractNum>
  <w:abstractNum w:abstractNumId="56" w15:restartNumberingAfterBreak="0">
    <w:nsid w:val="55044B3E"/>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85200B2"/>
    <w:multiLevelType w:val="multilevel"/>
    <w:tmpl w:val="A57AB8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58CC4A90"/>
    <w:multiLevelType w:val="hybridMultilevel"/>
    <w:tmpl w:val="7616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CD32B0"/>
    <w:multiLevelType w:val="multilevel"/>
    <w:tmpl w:val="AF02930A"/>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AD84E59"/>
    <w:multiLevelType w:val="multilevel"/>
    <w:tmpl w:val="EC541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B2316F9"/>
    <w:multiLevelType w:val="multilevel"/>
    <w:tmpl w:val="8834DE18"/>
    <w:lvl w:ilvl="0">
      <w:start w:val="1"/>
      <w:numFmt w:val="upperLetter"/>
      <w:lvlText w:val="%1)"/>
      <w:lvlJc w:val="left"/>
      <w:pPr>
        <w:ind w:left="3479" w:hanging="360"/>
      </w:pPr>
      <w:rPr>
        <w:rFonts w:ascii="Titilium" w:hAnsi="Titilium" w:hint="default"/>
        <w:b/>
        <w:bCs w:val="0"/>
        <w:sz w:val="18"/>
        <w:szCs w:val="18"/>
      </w:r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62" w15:restartNumberingAfterBreak="0">
    <w:nsid w:val="6123389E"/>
    <w:multiLevelType w:val="multilevel"/>
    <w:tmpl w:val="0410001F"/>
    <w:lvl w:ilvl="0">
      <w:start w:val="1"/>
      <w:numFmt w:val="decimal"/>
      <w:lvlText w:val="%1."/>
      <w:lvlJc w:val="left"/>
      <w:pPr>
        <w:ind w:left="360" w:hanging="360"/>
      </w:pPr>
      <w:rPr>
        <w:rFonts w:hint="default"/>
        <w:b/>
        <w:i w:val="0"/>
        <w:sz w:val="18"/>
        <w:szCs w:val="18"/>
      </w:rPr>
    </w:lvl>
    <w:lvl w:ilvl="1">
      <w:start w:val="1"/>
      <w:numFmt w:val="decimal"/>
      <w:lvlText w:val="%1.%2."/>
      <w:lvlJc w:val="left"/>
      <w:pPr>
        <w:ind w:left="792" w:hanging="432"/>
      </w:pPr>
      <w:rPr>
        <w:rFonts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79B61B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ABA2323"/>
    <w:multiLevelType w:val="hybridMultilevel"/>
    <w:tmpl w:val="59C8E63A"/>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7" w15:restartNumberingAfterBreak="0">
    <w:nsid w:val="6B1C5936"/>
    <w:multiLevelType w:val="hybridMultilevel"/>
    <w:tmpl w:val="6AD4CB20"/>
    <w:lvl w:ilvl="0" w:tplc="392811C0">
      <w:start w:val="4"/>
      <w:numFmt w:val="bullet"/>
      <w:lvlText w:val="-"/>
      <w:lvlJc w:val="left"/>
      <w:pPr>
        <w:ind w:left="144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BE33A0F"/>
    <w:multiLevelType w:val="multilevel"/>
    <w:tmpl w:val="7D162C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FE862C8"/>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70" w15:restartNumberingAfterBreak="0">
    <w:nsid w:val="708F6EA0"/>
    <w:multiLevelType w:val="multilevel"/>
    <w:tmpl w:val="EF9E413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0DF6EA0"/>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72" w15:restartNumberingAfterBreak="0">
    <w:nsid w:val="729510C3"/>
    <w:multiLevelType w:val="hybridMultilevel"/>
    <w:tmpl w:val="676C23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F67F74"/>
    <w:multiLevelType w:val="multilevel"/>
    <w:tmpl w:val="92A8C7C4"/>
    <w:lvl w:ilvl="0">
      <w:start w:val="1"/>
      <w:numFmt w:val="bullet"/>
      <w:lvlText w:val="-"/>
      <w:lvlJc w:val="left"/>
      <w:pPr>
        <w:ind w:left="1440" w:hanging="360"/>
      </w:pPr>
      <w:rPr>
        <w:rFonts w:ascii="Garamond" w:hAnsi="Garamond" w:cs="Times New Roman" w:hint="default"/>
        <w:b/>
        <w:i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5" w15:restartNumberingAfterBreak="0">
    <w:nsid w:val="7B1E7E7E"/>
    <w:multiLevelType w:val="hybridMultilevel"/>
    <w:tmpl w:val="0EBCC04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6" w15:restartNumberingAfterBreak="0">
    <w:nsid w:val="7C7D109E"/>
    <w:multiLevelType w:val="multilevel"/>
    <w:tmpl w:val="00FAC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591" w:hanging="180"/>
      </w:pPr>
      <w:rPr>
        <w:rFonts w:ascii="Titillium" w:hAnsi="Titillium" w:hint="default"/>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D207AAE"/>
    <w:multiLevelType w:val="multilevel"/>
    <w:tmpl w:val="69E4F0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E0C6238"/>
    <w:multiLevelType w:val="hybridMultilevel"/>
    <w:tmpl w:val="AD004A22"/>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7FA36277"/>
    <w:multiLevelType w:val="hybridMultilevel"/>
    <w:tmpl w:val="64C68DC2"/>
    <w:lvl w:ilvl="0" w:tplc="0410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771448">
    <w:abstractNumId w:val="33"/>
  </w:num>
  <w:num w:numId="2" w16cid:durableId="577983527">
    <w:abstractNumId w:val="59"/>
  </w:num>
  <w:num w:numId="3" w16cid:durableId="749083186">
    <w:abstractNumId w:val="36"/>
  </w:num>
  <w:num w:numId="4" w16cid:durableId="755396578">
    <w:abstractNumId w:val="10"/>
  </w:num>
  <w:num w:numId="5" w16cid:durableId="1856263257">
    <w:abstractNumId w:val="28"/>
  </w:num>
  <w:num w:numId="6" w16cid:durableId="564222378">
    <w:abstractNumId w:val="74"/>
  </w:num>
  <w:num w:numId="7" w16cid:durableId="447243332">
    <w:abstractNumId w:val="25"/>
  </w:num>
  <w:num w:numId="8" w16cid:durableId="1429499798">
    <w:abstractNumId w:val="31"/>
  </w:num>
  <w:num w:numId="9" w16cid:durableId="243728665">
    <w:abstractNumId w:val="29"/>
  </w:num>
  <w:num w:numId="10" w16cid:durableId="1465342956">
    <w:abstractNumId w:val="1"/>
  </w:num>
  <w:num w:numId="11" w16cid:durableId="1021707176">
    <w:abstractNumId w:val="15"/>
  </w:num>
  <w:num w:numId="12" w16cid:durableId="1651521559">
    <w:abstractNumId w:val="13"/>
  </w:num>
  <w:num w:numId="13" w16cid:durableId="2092237098">
    <w:abstractNumId w:val="3"/>
  </w:num>
  <w:num w:numId="14" w16cid:durableId="1402827932">
    <w:abstractNumId w:val="5"/>
  </w:num>
  <w:num w:numId="15" w16cid:durableId="1722827889">
    <w:abstractNumId w:val="4"/>
  </w:num>
  <w:num w:numId="16" w16cid:durableId="1625309724">
    <w:abstractNumId w:val="11"/>
  </w:num>
  <w:num w:numId="17" w16cid:durableId="1846283734">
    <w:abstractNumId w:val="48"/>
  </w:num>
  <w:num w:numId="18" w16cid:durableId="1798915622">
    <w:abstractNumId w:val="34"/>
  </w:num>
  <w:num w:numId="19" w16cid:durableId="1976716021">
    <w:abstractNumId w:val="46"/>
  </w:num>
  <w:num w:numId="20" w16cid:durableId="1359938459">
    <w:abstractNumId w:val="76"/>
  </w:num>
  <w:num w:numId="21" w16cid:durableId="2071076733">
    <w:abstractNumId w:val="60"/>
  </w:num>
  <w:num w:numId="22" w16cid:durableId="870187764">
    <w:abstractNumId w:val="2"/>
  </w:num>
  <w:num w:numId="23" w16cid:durableId="1778986168">
    <w:abstractNumId w:val="16"/>
  </w:num>
  <w:num w:numId="24" w16cid:durableId="1416247635">
    <w:abstractNumId w:val="9"/>
  </w:num>
  <w:num w:numId="25" w16cid:durableId="1894274757">
    <w:abstractNumId w:val="38"/>
  </w:num>
  <w:num w:numId="26" w16cid:durableId="124811585">
    <w:abstractNumId w:val="54"/>
  </w:num>
  <w:num w:numId="27" w16cid:durableId="113521498">
    <w:abstractNumId w:val="64"/>
  </w:num>
  <w:num w:numId="28" w16cid:durableId="1329405310">
    <w:abstractNumId w:val="30"/>
  </w:num>
  <w:num w:numId="29" w16cid:durableId="763573323">
    <w:abstractNumId w:val="61"/>
  </w:num>
  <w:num w:numId="30" w16cid:durableId="1491869291">
    <w:abstractNumId w:val="77"/>
  </w:num>
  <w:num w:numId="31" w16cid:durableId="707755654">
    <w:abstractNumId w:val="37"/>
  </w:num>
  <w:num w:numId="32" w16cid:durableId="944074991">
    <w:abstractNumId w:val="57"/>
  </w:num>
  <w:num w:numId="33" w16cid:durableId="1199472349">
    <w:abstractNumId w:val="0"/>
  </w:num>
  <w:num w:numId="34" w16cid:durableId="824468497">
    <w:abstractNumId w:val="17"/>
  </w:num>
  <w:num w:numId="35" w16cid:durableId="135685268">
    <w:abstractNumId w:val="16"/>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6" w16cid:durableId="881750658">
    <w:abstractNumId w:val="50"/>
  </w:num>
  <w:num w:numId="37" w16cid:durableId="934898349">
    <w:abstractNumId w:val="72"/>
  </w:num>
  <w:num w:numId="38" w16cid:durableId="1116370221">
    <w:abstractNumId w:val="18"/>
  </w:num>
  <w:num w:numId="39" w16cid:durableId="49111754">
    <w:abstractNumId w:val="45"/>
  </w:num>
  <w:num w:numId="40" w16cid:durableId="777067439">
    <w:abstractNumId w:val="12"/>
  </w:num>
  <w:num w:numId="41" w16cid:durableId="851187568">
    <w:abstractNumId w:val="14"/>
  </w:num>
  <w:num w:numId="42" w16cid:durableId="1534726066">
    <w:abstractNumId w:val="21"/>
  </w:num>
  <w:num w:numId="43" w16cid:durableId="1561598162">
    <w:abstractNumId w:val="70"/>
  </w:num>
  <w:num w:numId="44" w16cid:durableId="1987784262">
    <w:abstractNumId w:val="47"/>
  </w:num>
  <w:num w:numId="45" w16cid:durableId="1829513776">
    <w:abstractNumId w:val="22"/>
  </w:num>
  <w:num w:numId="46" w16cid:durableId="770668257">
    <w:abstractNumId w:val="67"/>
  </w:num>
  <w:num w:numId="47" w16cid:durableId="1848671330">
    <w:abstractNumId w:val="23"/>
  </w:num>
  <w:num w:numId="48" w16cid:durableId="2138450020">
    <w:abstractNumId w:val="65"/>
  </w:num>
  <w:num w:numId="49" w16cid:durableId="986128388">
    <w:abstractNumId w:val="78"/>
  </w:num>
  <w:num w:numId="50" w16cid:durableId="1586181290">
    <w:abstractNumId w:val="20"/>
  </w:num>
  <w:num w:numId="51" w16cid:durableId="783422010">
    <w:abstractNumId w:val="8"/>
  </w:num>
  <w:num w:numId="52" w16cid:durableId="1660187665">
    <w:abstractNumId w:val="24"/>
  </w:num>
  <w:num w:numId="53" w16cid:durableId="1990329277">
    <w:abstractNumId w:val="6"/>
  </w:num>
  <w:num w:numId="54" w16cid:durableId="433748239">
    <w:abstractNumId w:val="66"/>
  </w:num>
  <w:num w:numId="55" w16cid:durableId="109739888">
    <w:abstractNumId w:val="43"/>
  </w:num>
  <w:num w:numId="56" w16cid:durableId="1379351925">
    <w:abstractNumId w:val="35"/>
  </w:num>
  <w:num w:numId="57" w16cid:durableId="1842894311">
    <w:abstractNumId w:val="44"/>
  </w:num>
  <w:num w:numId="58" w16cid:durableId="1255625149">
    <w:abstractNumId w:val="26"/>
  </w:num>
  <w:num w:numId="59" w16cid:durableId="1939826205">
    <w:abstractNumId w:val="7"/>
  </w:num>
  <w:num w:numId="60" w16cid:durableId="1164053461">
    <w:abstractNumId w:val="62"/>
  </w:num>
  <w:num w:numId="61" w16cid:durableId="458257320">
    <w:abstractNumId w:val="55"/>
  </w:num>
  <w:num w:numId="62" w16cid:durableId="1072046230">
    <w:abstractNumId w:val="32"/>
  </w:num>
  <w:num w:numId="63" w16cid:durableId="1487671158">
    <w:abstractNumId w:val="53"/>
  </w:num>
  <w:num w:numId="64" w16cid:durableId="1302493054">
    <w:abstractNumId w:val="68"/>
  </w:num>
  <w:num w:numId="65" w16cid:durableId="2009670184">
    <w:abstractNumId w:val="75"/>
  </w:num>
  <w:num w:numId="66" w16cid:durableId="282462864">
    <w:abstractNumId w:val="73"/>
  </w:num>
  <w:num w:numId="67" w16cid:durableId="2017803788">
    <w:abstractNumId w:val="49"/>
  </w:num>
  <w:num w:numId="68" w16cid:durableId="404453667">
    <w:abstractNumId w:val="63"/>
  </w:num>
  <w:num w:numId="69" w16cid:durableId="333460566">
    <w:abstractNumId w:val="27"/>
  </w:num>
  <w:num w:numId="70" w16cid:durableId="192311111">
    <w:abstractNumId w:val="19"/>
  </w:num>
  <w:num w:numId="71" w16cid:durableId="941186305">
    <w:abstractNumId w:val="56"/>
  </w:num>
  <w:num w:numId="72" w16cid:durableId="906723251">
    <w:abstractNumId w:val="40"/>
  </w:num>
  <w:num w:numId="73" w16cid:durableId="1011834193">
    <w:abstractNumId w:val="51"/>
  </w:num>
  <w:num w:numId="74" w16cid:durableId="754473568">
    <w:abstractNumId w:val="39"/>
  </w:num>
  <w:num w:numId="75" w16cid:durableId="1769111181">
    <w:abstractNumId w:val="42"/>
  </w:num>
  <w:num w:numId="76" w16cid:durableId="912205188">
    <w:abstractNumId w:val="71"/>
  </w:num>
  <w:num w:numId="77" w16cid:durableId="1719159194">
    <w:abstractNumId w:val="69"/>
  </w:num>
  <w:num w:numId="78" w16cid:durableId="1705860791">
    <w:abstractNumId w:val="79"/>
  </w:num>
  <w:num w:numId="79" w16cid:durableId="1779331274">
    <w:abstractNumId w:val="41"/>
  </w:num>
  <w:num w:numId="80" w16cid:durableId="936982633">
    <w:abstractNumId w:val="58"/>
  </w:num>
  <w:num w:numId="81" w16cid:durableId="167124934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37"/>
    <w:rsid w:val="00041B26"/>
    <w:rsid w:val="0008074C"/>
    <w:rsid w:val="000B3645"/>
    <w:rsid w:val="000D3BB5"/>
    <w:rsid w:val="001536A4"/>
    <w:rsid w:val="00183949"/>
    <w:rsid w:val="001D054C"/>
    <w:rsid w:val="001E0D22"/>
    <w:rsid w:val="00254850"/>
    <w:rsid w:val="00276DF7"/>
    <w:rsid w:val="002A6091"/>
    <w:rsid w:val="003635F0"/>
    <w:rsid w:val="00392637"/>
    <w:rsid w:val="003A0CA5"/>
    <w:rsid w:val="003C5773"/>
    <w:rsid w:val="004312BF"/>
    <w:rsid w:val="004C45EE"/>
    <w:rsid w:val="00651C18"/>
    <w:rsid w:val="007A47E2"/>
    <w:rsid w:val="008B47DE"/>
    <w:rsid w:val="0093082B"/>
    <w:rsid w:val="009428FA"/>
    <w:rsid w:val="009E3DC1"/>
    <w:rsid w:val="00A67A4E"/>
    <w:rsid w:val="00AE7BB3"/>
    <w:rsid w:val="00C508D6"/>
    <w:rsid w:val="00C5206F"/>
    <w:rsid w:val="00C76B90"/>
    <w:rsid w:val="00CF5DD9"/>
    <w:rsid w:val="00D53791"/>
    <w:rsid w:val="00DB4880"/>
    <w:rsid w:val="00DE48DF"/>
    <w:rsid w:val="00F970C2"/>
    <w:rsid w:val="00FC23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1FF1"/>
  <w15:chartTrackingRefBased/>
  <w15:docId w15:val="{FB6314C1-409A-4290-AB3C-0B78930A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kern w:val="2"/>
      <w:sz w:val="24"/>
      <w:szCs w:val="24"/>
      <w:lang w:eastAsia="en-US"/>
    </w:rPr>
  </w:style>
  <w:style w:type="paragraph" w:styleId="Titolo1">
    <w:name w:val="heading 1"/>
    <w:basedOn w:val="Normale"/>
    <w:next w:val="Titolo2"/>
    <w:link w:val="Titolo1Carattere"/>
    <w:qFormat/>
    <w:rsid w:val="00276DF7"/>
    <w:pPr>
      <w:keepNext/>
      <w:keepLines/>
      <w:spacing w:before="280" w:after="280" w:line="276" w:lineRule="auto"/>
      <w:jc w:val="center"/>
      <w:outlineLvl w:val="0"/>
    </w:pPr>
    <w:rPr>
      <w:rFonts w:ascii="Garamond" w:hAnsi="Garamond"/>
      <w:b/>
      <w:bCs/>
      <w:kern w:val="0"/>
      <w:sz w:val="28"/>
      <w:szCs w:val="28"/>
      <w:lang w:val="x-none" w:eastAsia="x-none"/>
    </w:rPr>
  </w:style>
  <w:style w:type="paragraph" w:styleId="Titolo2">
    <w:name w:val="heading 2"/>
    <w:basedOn w:val="Normale"/>
    <w:next w:val="Titolo3"/>
    <w:link w:val="Titolo2Carattere"/>
    <w:qFormat/>
    <w:rsid w:val="00276DF7"/>
    <w:pPr>
      <w:keepNext/>
      <w:spacing w:before="560" w:after="120" w:line="276" w:lineRule="auto"/>
      <w:jc w:val="both"/>
      <w:outlineLvl w:val="1"/>
    </w:pPr>
    <w:rPr>
      <w:rFonts w:ascii="Garamond" w:eastAsia="Times New Roman" w:hAnsi="Garamond"/>
      <w:b/>
      <w:bCs/>
      <w:iCs/>
      <w:caps/>
      <w:kern w:val="0"/>
      <w:szCs w:val="28"/>
      <w:lang w:val="x-none"/>
    </w:rPr>
  </w:style>
  <w:style w:type="paragraph" w:styleId="Titolo3">
    <w:name w:val="heading 3"/>
    <w:basedOn w:val="Normale"/>
    <w:next w:val="Normale"/>
    <w:link w:val="Titolo3Carattere"/>
    <w:qFormat/>
    <w:rsid w:val="00276DF7"/>
    <w:pPr>
      <w:keepNext/>
      <w:spacing w:before="240" w:after="60" w:line="276" w:lineRule="auto"/>
      <w:jc w:val="both"/>
      <w:outlineLvl w:val="2"/>
    </w:pPr>
    <w:rPr>
      <w:rFonts w:ascii="Garamond" w:eastAsia="Times New Roman" w:hAnsi="Garamond"/>
      <w:b/>
      <w:bCs/>
      <w:caps/>
      <w:kern w:val="0"/>
      <w:sz w:val="22"/>
      <w:szCs w:val="26"/>
      <w:lang w:val="x-none"/>
    </w:rPr>
  </w:style>
  <w:style w:type="paragraph" w:styleId="Titolo4">
    <w:name w:val="heading 4"/>
    <w:basedOn w:val="Normale"/>
    <w:next w:val="Normale"/>
    <w:link w:val="Titolo4Carattere"/>
    <w:qFormat/>
    <w:rsid w:val="00276DF7"/>
    <w:pPr>
      <w:keepNext/>
      <w:keepLines/>
      <w:spacing w:before="200" w:line="276" w:lineRule="auto"/>
      <w:jc w:val="both"/>
      <w:outlineLvl w:val="3"/>
    </w:pPr>
    <w:rPr>
      <w:rFonts w:ascii="Cambria" w:hAnsi="Cambria"/>
      <w:b/>
      <w:bCs/>
      <w:i/>
      <w:iCs/>
      <w:color w:val="4F81BD"/>
      <w:kern w:val="0"/>
      <w:szCs w:val="22"/>
    </w:rPr>
  </w:style>
  <w:style w:type="paragraph" w:styleId="Titolo5">
    <w:name w:val="heading 5"/>
    <w:basedOn w:val="Normale"/>
    <w:next w:val="Normale"/>
    <w:link w:val="Titolo5Carattere"/>
    <w:qFormat/>
    <w:rsid w:val="00276DF7"/>
    <w:pPr>
      <w:spacing w:before="240" w:after="60" w:line="276" w:lineRule="auto"/>
      <w:jc w:val="both"/>
      <w:outlineLvl w:val="4"/>
    </w:pPr>
    <w:rPr>
      <w:rFonts w:ascii="Garamond" w:eastAsia="Times New Roman" w:hAnsi="Garamond"/>
      <w:b/>
      <w:bCs/>
      <w:i/>
      <w:iCs/>
      <w:kern w:val="0"/>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B4880"/>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4880"/>
    <w:pPr>
      <w:widowControl w:val="0"/>
    </w:pPr>
    <w:rPr>
      <w:rFonts w:ascii="Calibri" w:hAnsi="Calibri"/>
      <w:kern w:val="0"/>
      <w:sz w:val="22"/>
      <w:szCs w:val="22"/>
      <w:lang w:val="en-US"/>
    </w:rPr>
  </w:style>
  <w:style w:type="character" w:customStyle="1" w:styleId="Titolo1Carattere">
    <w:name w:val="Titolo 1 Carattere"/>
    <w:basedOn w:val="Carpredefinitoparagrafo"/>
    <w:link w:val="Titolo1"/>
    <w:qFormat/>
    <w:rsid w:val="00276DF7"/>
    <w:rPr>
      <w:rFonts w:ascii="Garamond" w:hAnsi="Garamond"/>
      <w:b/>
      <w:bCs/>
      <w:sz w:val="28"/>
      <w:szCs w:val="28"/>
      <w:lang w:val="x-none" w:eastAsia="x-none"/>
    </w:rPr>
  </w:style>
  <w:style w:type="character" w:customStyle="1" w:styleId="Titolo2Carattere">
    <w:name w:val="Titolo 2 Carattere"/>
    <w:basedOn w:val="Carpredefinitoparagrafo"/>
    <w:link w:val="Titolo2"/>
    <w:qFormat/>
    <w:rsid w:val="00276DF7"/>
    <w:rPr>
      <w:rFonts w:ascii="Garamond" w:eastAsia="Times New Roman" w:hAnsi="Garamond"/>
      <w:b/>
      <w:bCs/>
      <w:iCs/>
      <w:caps/>
      <w:sz w:val="24"/>
      <w:szCs w:val="28"/>
      <w:lang w:val="x-none" w:eastAsia="en-US"/>
    </w:rPr>
  </w:style>
  <w:style w:type="character" w:customStyle="1" w:styleId="Titolo3Carattere">
    <w:name w:val="Titolo 3 Carattere"/>
    <w:basedOn w:val="Carpredefinitoparagrafo"/>
    <w:link w:val="Titolo3"/>
    <w:qFormat/>
    <w:rsid w:val="00276DF7"/>
    <w:rPr>
      <w:rFonts w:ascii="Garamond" w:eastAsia="Times New Roman" w:hAnsi="Garamond"/>
      <w:b/>
      <w:bCs/>
      <w:caps/>
      <w:sz w:val="22"/>
      <w:szCs w:val="26"/>
      <w:lang w:val="x-none" w:eastAsia="en-US"/>
    </w:rPr>
  </w:style>
  <w:style w:type="character" w:customStyle="1" w:styleId="Titolo4Carattere">
    <w:name w:val="Titolo 4 Carattere"/>
    <w:basedOn w:val="Carpredefinitoparagrafo"/>
    <w:link w:val="Titolo4"/>
    <w:qFormat/>
    <w:rsid w:val="00276DF7"/>
    <w:rPr>
      <w:rFonts w:ascii="Cambria" w:hAnsi="Cambria"/>
      <w:b/>
      <w:bCs/>
      <w:i/>
      <w:iCs/>
      <w:color w:val="4F81BD"/>
      <w:sz w:val="24"/>
      <w:szCs w:val="22"/>
      <w:lang w:eastAsia="en-US"/>
    </w:rPr>
  </w:style>
  <w:style w:type="character" w:customStyle="1" w:styleId="Titolo5Carattere">
    <w:name w:val="Titolo 5 Carattere"/>
    <w:basedOn w:val="Carpredefinitoparagrafo"/>
    <w:link w:val="Titolo5"/>
    <w:qFormat/>
    <w:rsid w:val="00276DF7"/>
    <w:rPr>
      <w:rFonts w:ascii="Garamond" w:eastAsia="Times New Roman" w:hAnsi="Garamond"/>
      <w:b/>
      <w:bCs/>
      <w:i/>
      <w:iCs/>
      <w:sz w:val="26"/>
      <w:szCs w:val="26"/>
      <w:lang w:val="x-none" w:eastAsia="en-US"/>
    </w:rPr>
  </w:style>
  <w:style w:type="character" w:customStyle="1" w:styleId="TestofumettoCarattere">
    <w:name w:val="Testo fumetto Carattere"/>
    <w:qFormat/>
    <w:rsid w:val="00276DF7"/>
    <w:rPr>
      <w:rFonts w:ascii="Tahoma" w:hAnsi="Tahoma" w:cs="Tahoma"/>
      <w:sz w:val="16"/>
      <w:szCs w:val="16"/>
    </w:rPr>
  </w:style>
  <w:style w:type="character" w:customStyle="1" w:styleId="IntestazioneCarattere">
    <w:name w:val="Intestazione Carattere"/>
    <w:qFormat/>
    <w:rsid w:val="00276DF7"/>
    <w:rPr>
      <w:rFonts w:eastAsia="Times New Roman" w:cs="Times New Roman"/>
      <w:lang w:val="x-none" w:eastAsia="it-IT"/>
    </w:rPr>
  </w:style>
  <w:style w:type="character" w:customStyle="1" w:styleId="PidipaginaCarattere">
    <w:name w:val="Piè di pagina Carattere"/>
    <w:qFormat/>
    <w:rsid w:val="00276DF7"/>
    <w:rPr>
      <w:rFonts w:eastAsia="Times New Roman" w:cs="Times New Roman"/>
      <w:lang w:val="x-none" w:eastAsia="it-IT"/>
    </w:rPr>
  </w:style>
  <w:style w:type="character" w:customStyle="1" w:styleId="TestonotaapidipaginaCarattere">
    <w:name w:val="Testo nota a piè di pagina Carattere"/>
    <w:qFormat/>
    <w:rsid w:val="00276DF7"/>
    <w:rPr>
      <w:rFonts w:eastAsia="Times New Roman" w:cs="Times New Roman"/>
      <w:sz w:val="20"/>
      <w:szCs w:val="20"/>
      <w:lang w:val="x-none" w:eastAsia="it-IT"/>
    </w:rPr>
  </w:style>
  <w:style w:type="character" w:customStyle="1" w:styleId="Richiamoallanotaapidipagina">
    <w:name w:val="Richiamo alla nota a piè di pagina"/>
    <w:rsid w:val="00276DF7"/>
    <w:rPr>
      <w:rFonts w:cs="Times New Roman"/>
      <w:vertAlign w:val="superscript"/>
    </w:rPr>
  </w:style>
  <w:style w:type="character" w:customStyle="1" w:styleId="FootnoteCharacters">
    <w:name w:val="Footnote Characters"/>
    <w:uiPriority w:val="99"/>
    <w:semiHidden/>
    <w:unhideWhenUsed/>
    <w:qFormat/>
    <w:rsid w:val="00276DF7"/>
    <w:rPr>
      <w:vertAlign w:val="superscript"/>
    </w:rPr>
  </w:style>
  <w:style w:type="character" w:customStyle="1" w:styleId="CollegamentoInternet">
    <w:name w:val="Collegamento Internet"/>
    <w:uiPriority w:val="99"/>
    <w:unhideWhenUsed/>
    <w:rsid w:val="00276DF7"/>
    <w:rPr>
      <w:color w:val="0563C1"/>
      <w:u w:val="single"/>
    </w:rPr>
  </w:style>
  <w:style w:type="character" w:customStyle="1" w:styleId="Stile1Carattere">
    <w:name w:val="Stile1 Carattere"/>
    <w:qFormat/>
    <w:rsid w:val="00276DF7"/>
    <w:rPr>
      <w:rFonts w:ascii="Times New Roman" w:hAnsi="Times New Roman" w:cs="Times New Roman"/>
      <w:b/>
      <w:bCs/>
      <w:color w:val="365F91"/>
      <w:sz w:val="28"/>
      <w:szCs w:val="28"/>
      <w:lang w:val="x-none" w:eastAsia="it-IT"/>
    </w:rPr>
  </w:style>
  <w:style w:type="character" w:customStyle="1" w:styleId="NoSpacingChar">
    <w:name w:val="No Spacing Char"/>
    <w:qFormat/>
    <w:rsid w:val="00276DF7"/>
    <w:rPr>
      <w:sz w:val="22"/>
      <w:szCs w:val="22"/>
      <w:lang w:val="it-IT" w:eastAsia="en-US" w:bidi="ar-SA"/>
    </w:rPr>
  </w:style>
  <w:style w:type="character" w:customStyle="1" w:styleId="Enfasi">
    <w:name w:val="Enfasi"/>
    <w:qFormat/>
    <w:rsid w:val="00276DF7"/>
    <w:rPr>
      <w:rFonts w:cs="Times New Roman"/>
      <w:i/>
      <w:iCs/>
    </w:rPr>
  </w:style>
  <w:style w:type="character" w:customStyle="1" w:styleId="TestonotadichiusuraCarattere">
    <w:name w:val="Testo nota di chiusura Carattere"/>
    <w:qFormat/>
    <w:rsid w:val="00276DF7"/>
    <w:rPr>
      <w:rFonts w:eastAsia="Times New Roman"/>
      <w:lang w:eastAsia="en-US"/>
    </w:rPr>
  </w:style>
  <w:style w:type="character" w:customStyle="1" w:styleId="Richiamoallanotadichiusura">
    <w:name w:val="Richiamo alla nota di chiusura"/>
    <w:rsid w:val="00276DF7"/>
    <w:rPr>
      <w:vertAlign w:val="superscript"/>
    </w:rPr>
  </w:style>
  <w:style w:type="character" w:customStyle="1" w:styleId="EndnoteCharacters">
    <w:name w:val="Endnote Characters"/>
    <w:qFormat/>
    <w:rsid w:val="00276DF7"/>
    <w:rPr>
      <w:vertAlign w:val="superscript"/>
    </w:rPr>
  </w:style>
  <w:style w:type="character" w:customStyle="1" w:styleId="descrizione">
    <w:name w:val="descrizione"/>
    <w:qFormat/>
    <w:rsid w:val="00276DF7"/>
    <w:rPr>
      <w:b/>
      <w:bCs/>
      <w:color w:val="5B76A0"/>
      <w:sz w:val="28"/>
      <w:szCs w:val="28"/>
    </w:rPr>
  </w:style>
  <w:style w:type="character" w:styleId="Enfasigrassetto">
    <w:name w:val="Strong"/>
    <w:qFormat/>
    <w:rsid w:val="00276DF7"/>
    <w:rPr>
      <w:b/>
      <w:bCs/>
    </w:rPr>
  </w:style>
  <w:style w:type="character" w:customStyle="1" w:styleId="provvrubrica">
    <w:name w:val="provv_rubrica"/>
    <w:qFormat/>
    <w:rsid w:val="00276DF7"/>
    <w:rPr>
      <w:i/>
      <w:iCs/>
    </w:rPr>
  </w:style>
  <w:style w:type="character" w:styleId="Rimandocommento">
    <w:name w:val="annotation reference"/>
    <w:qFormat/>
    <w:rsid w:val="00276DF7"/>
    <w:rPr>
      <w:sz w:val="16"/>
      <w:szCs w:val="16"/>
    </w:rPr>
  </w:style>
  <w:style w:type="character" w:customStyle="1" w:styleId="TestocommentoCarattere">
    <w:name w:val="Testo commento Carattere"/>
    <w:qFormat/>
    <w:rsid w:val="00276DF7"/>
    <w:rPr>
      <w:rFonts w:eastAsia="Times New Roman"/>
      <w:lang w:eastAsia="en-US"/>
    </w:rPr>
  </w:style>
  <w:style w:type="character" w:customStyle="1" w:styleId="SoggettocommentoCarattere">
    <w:name w:val="Soggetto commento Carattere"/>
    <w:qFormat/>
    <w:rsid w:val="00276DF7"/>
    <w:rPr>
      <w:rFonts w:eastAsia="Times New Roman"/>
      <w:b/>
      <w:bCs/>
      <w:lang w:eastAsia="en-US"/>
    </w:rPr>
  </w:style>
  <w:style w:type="character" w:customStyle="1" w:styleId="provvnumcomma">
    <w:name w:val="provv_numcomma"/>
    <w:basedOn w:val="Carpredefinitoparagrafo"/>
    <w:qFormat/>
    <w:rsid w:val="00276DF7"/>
  </w:style>
  <w:style w:type="character" w:customStyle="1" w:styleId="anchorantimarker">
    <w:name w:val="anchor_anti_marker"/>
    <w:qFormat/>
    <w:rsid w:val="00276DF7"/>
    <w:rPr>
      <w:color w:val="000000"/>
    </w:rPr>
  </w:style>
  <w:style w:type="character" w:customStyle="1" w:styleId="linkneltesto">
    <w:name w:val="link_nel_testo"/>
    <w:qFormat/>
    <w:rsid w:val="00276DF7"/>
    <w:rPr>
      <w:i/>
      <w:iCs/>
    </w:rPr>
  </w:style>
  <w:style w:type="character" w:customStyle="1" w:styleId="CorpotestoCarattere1">
    <w:name w:val="Corpo testo Carattere1"/>
    <w:qFormat/>
    <w:rsid w:val="00276DF7"/>
    <w:rPr>
      <w:rFonts w:ascii="Times New Roman" w:eastAsia="Times New Roman" w:hAnsi="Times New Roman"/>
      <w:sz w:val="26"/>
    </w:rPr>
  </w:style>
  <w:style w:type="character" w:customStyle="1" w:styleId="Rientrocorpodeltesto3Carattere">
    <w:name w:val="Rientro corpo del testo 3 Carattere"/>
    <w:qFormat/>
    <w:rsid w:val="00276DF7"/>
    <w:rPr>
      <w:rFonts w:eastAsia="Times New Roman"/>
      <w:sz w:val="16"/>
      <w:szCs w:val="16"/>
      <w:lang w:eastAsia="en-US"/>
    </w:rPr>
  </w:style>
  <w:style w:type="character" w:customStyle="1" w:styleId="Corpodeltesto2Carattere">
    <w:name w:val="Corpo del testo 2 Carattere"/>
    <w:qFormat/>
    <w:rsid w:val="00276DF7"/>
    <w:rPr>
      <w:rFonts w:eastAsia="Times New Roman"/>
      <w:sz w:val="22"/>
      <w:szCs w:val="22"/>
      <w:lang w:eastAsia="en-US"/>
    </w:rPr>
  </w:style>
  <w:style w:type="character" w:customStyle="1" w:styleId="noteapiCarattere">
    <w:name w:val="note a piè Carattere"/>
    <w:qFormat/>
    <w:rsid w:val="00276DF7"/>
    <w:rPr>
      <w:rFonts w:ascii="Times New Roman" w:eastAsia="Times New Roman" w:hAnsi="Times New Roman" w:cs="Times New Roman"/>
      <w:sz w:val="20"/>
      <w:szCs w:val="20"/>
      <w:lang w:val="x-none" w:eastAsia="it-IT"/>
    </w:rPr>
  </w:style>
  <w:style w:type="character" w:customStyle="1" w:styleId="provvnumart">
    <w:name w:val="provv_numart"/>
    <w:qFormat/>
    <w:rsid w:val="00276DF7"/>
    <w:rPr>
      <w:b/>
      <w:bCs/>
    </w:rPr>
  </w:style>
  <w:style w:type="character" w:customStyle="1" w:styleId="MappadocumentoCarattere">
    <w:name w:val="Mappa documento Carattere"/>
    <w:qFormat/>
    <w:rsid w:val="00276DF7"/>
    <w:rPr>
      <w:rFonts w:ascii="Tahoma" w:eastAsia="Times New Roman" w:hAnsi="Tahoma" w:cs="Tahoma"/>
      <w:sz w:val="16"/>
      <w:szCs w:val="16"/>
      <w:lang w:eastAsia="en-US"/>
    </w:rPr>
  </w:style>
  <w:style w:type="character" w:customStyle="1" w:styleId="provvvigore">
    <w:name w:val="provv_vigore"/>
    <w:qFormat/>
    <w:rsid w:val="00276DF7"/>
    <w:rPr>
      <w:vanish w:val="0"/>
    </w:rPr>
  </w:style>
  <w:style w:type="character" w:customStyle="1" w:styleId="riferimento1">
    <w:name w:val="riferimento1"/>
    <w:qFormat/>
    <w:rsid w:val="00276DF7"/>
    <w:rPr>
      <w:i/>
      <w:iCs/>
      <w:color w:val="058940"/>
    </w:rPr>
  </w:style>
  <w:style w:type="character" w:customStyle="1" w:styleId="SottotitoloCarattere">
    <w:name w:val="Sottotitolo Carattere"/>
    <w:qFormat/>
    <w:rsid w:val="00276DF7"/>
    <w:rPr>
      <w:rFonts w:ascii="Cambria" w:eastAsia="Times New Roman" w:hAnsi="Cambria" w:cs="Times New Roman"/>
      <w:sz w:val="24"/>
      <w:szCs w:val="24"/>
      <w:lang w:eastAsia="en-US"/>
    </w:rPr>
  </w:style>
  <w:style w:type="character" w:customStyle="1" w:styleId="TitoloCarattere">
    <w:name w:val="Titolo Carattere"/>
    <w:qFormat/>
    <w:rsid w:val="00276DF7"/>
    <w:rPr>
      <w:rFonts w:ascii="Cambria" w:eastAsia="Times New Roman" w:hAnsi="Cambria" w:cs="Times New Roman"/>
      <w:b/>
      <w:bCs/>
      <w:kern w:val="2"/>
      <w:sz w:val="32"/>
      <w:szCs w:val="32"/>
      <w:lang w:eastAsia="en-US"/>
    </w:rPr>
  </w:style>
  <w:style w:type="character" w:customStyle="1" w:styleId="CollegamentoInternetvisitato">
    <w:name w:val="Collegamento Internet visitato"/>
    <w:rsid w:val="00276DF7"/>
    <w:rPr>
      <w:color w:val="800080"/>
      <w:u w:val="single"/>
    </w:rPr>
  </w:style>
  <w:style w:type="character" w:customStyle="1" w:styleId="Rientrocorpodeltesto2Carattere">
    <w:name w:val="Rientro corpo del testo 2 Carattere"/>
    <w:qFormat/>
    <w:rsid w:val="00276DF7"/>
    <w:rPr>
      <w:rFonts w:ascii="Times New Roman" w:eastAsia="Times New Roman" w:hAnsi="Times New Roman"/>
      <w:sz w:val="24"/>
      <w:szCs w:val="24"/>
    </w:rPr>
  </w:style>
  <w:style w:type="character" w:customStyle="1" w:styleId="CorpotestoCarattere">
    <w:name w:val="Corpo testo Carattere"/>
    <w:qFormat/>
    <w:rsid w:val="00276DF7"/>
    <w:rPr>
      <w:rFonts w:ascii="Times New Roman" w:eastAsia="Times New Roman" w:hAnsi="Times New Roman" w:cs="Times New Roman"/>
      <w:sz w:val="26"/>
      <w:szCs w:val="24"/>
      <w:lang w:eastAsia="it-IT"/>
    </w:rPr>
  </w:style>
  <w:style w:type="character" w:styleId="Numeropagina">
    <w:name w:val="page number"/>
    <w:qFormat/>
    <w:rsid w:val="00276DF7"/>
  </w:style>
  <w:style w:type="character" w:customStyle="1" w:styleId="RientrocorpodeltestoCarattere">
    <w:name w:val="Rientro corpo del testo Carattere"/>
    <w:qFormat/>
    <w:rsid w:val="00276DF7"/>
    <w:rPr>
      <w:rFonts w:ascii="Times New Roman" w:eastAsia="Times New Roman" w:hAnsi="Times New Roman"/>
      <w:b/>
      <w:bCs/>
      <w:i/>
      <w:iCs/>
    </w:rPr>
  </w:style>
  <w:style w:type="character" w:customStyle="1" w:styleId="Corpodeltesto3Carattere">
    <w:name w:val="Corpo del testo 3 Carattere"/>
    <w:qFormat/>
    <w:rsid w:val="00276DF7"/>
    <w:rPr>
      <w:rFonts w:ascii="Times New Roman" w:eastAsia="Times New Roman" w:hAnsi="Times New Roman"/>
      <w:b/>
      <w:bCs/>
      <w:i/>
      <w:iCs/>
      <w:szCs w:val="24"/>
    </w:rPr>
  </w:style>
  <w:style w:type="character" w:customStyle="1" w:styleId="CarattereCarattere2">
    <w:name w:val="Carattere Carattere2"/>
    <w:qFormat/>
    <w:rsid w:val="00276DF7"/>
    <w:rPr>
      <w:sz w:val="26"/>
      <w:szCs w:val="24"/>
      <w:lang w:val="it-IT" w:eastAsia="it-IT" w:bidi="ar-SA"/>
    </w:rPr>
  </w:style>
  <w:style w:type="character" w:customStyle="1" w:styleId="st1">
    <w:name w:val="st1"/>
    <w:qFormat/>
    <w:rsid w:val="00276DF7"/>
  </w:style>
  <w:style w:type="character" w:customStyle="1" w:styleId="TestonormaleCarattere">
    <w:name w:val="Testo normale Carattere"/>
    <w:qFormat/>
    <w:rsid w:val="00276DF7"/>
    <w:rPr>
      <w:rFonts w:ascii="Garamond" w:eastAsia="Times New Roman" w:hAnsi="Garamond" w:cs="Consolas"/>
      <w:sz w:val="24"/>
      <w:szCs w:val="21"/>
      <w:lang w:eastAsia="en-US"/>
    </w:rPr>
  </w:style>
  <w:style w:type="character" w:styleId="Testosegnaposto">
    <w:name w:val="Placeholder Text"/>
    <w:qFormat/>
    <w:rsid w:val="00276DF7"/>
    <w:rPr>
      <w:color w:val="808080"/>
    </w:rPr>
  </w:style>
  <w:style w:type="character" w:customStyle="1" w:styleId="SommariodisciplinareCarattere">
    <w:name w:val="Sommario disciplinare Carattere"/>
    <w:qFormat/>
    <w:rsid w:val="00276DF7"/>
    <w:rPr>
      <w:rFonts w:ascii="Garamond" w:eastAsia="Times New Roman" w:hAnsi="Garamond" w:cs="Calibri"/>
      <w:b/>
      <w:bCs/>
      <w:kern w:val="32"/>
      <w:sz w:val="22"/>
      <w:szCs w:val="24"/>
      <w:lang w:val="x-none" w:eastAsia="x-none"/>
    </w:rPr>
  </w:style>
  <w:style w:type="character" w:customStyle="1" w:styleId="apple-converted-space">
    <w:name w:val="apple-converted-space"/>
    <w:basedOn w:val="Carpredefinitoparagrafo"/>
    <w:qFormat/>
    <w:rsid w:val="00276DF7"/>
  </w:style>
  <w:style w:type="character" w:customStyle="1" w:styleId="Saltoaindice">
    <w:name w:val="Salto a indice"/>
    <w:qFormat/>
    <w:rsid w:val="00276DF7"/>
  </w:style>
  <w:style w:type="character" w:customStyle="1" w:styleId="WW8Num27z0">
    <w:name w:val="WW8Num27z0"/>
    <w:qFormat/>
    <w:rsid w:val="00276DF7"/>
    <w:rPr>
      <w:rFonts w:ascii="Calibri" w:hAnsi="Calibri" w:cs="Calibri"/>
      <w:sz w:val="22"/>
      <w:szCs w:val="22"/>
    </w:rPr>
  </w:style>
  <w:style w:type="character" w:customStyle="1" w:styleId="WW8Num27z1">
    <w:name w:val="WW8Num27z1"/>
    <w:qFormat/>
    <w:rsid w:val="00276DF7"/>
  </w:style>
  <w:style w:type="character" w:customStyle="1" w:styleId="WW8Num27z2">
    <w:name w:val="WW8Num27z2"/>
    <w:qFormat/>
    <w:rsid w:val="00276DF7"/>
  </w:style>
  <w:style w:type="character" w:customStyle="1" w:styleId="WW8Num27z3">
    <w:name w:val="WW8Num27z3"/>
    <w:qFormat/>
    <w:rsid w:val="00276DF7"/>
  </w:style>
  <w:style w:type="character" w:customStyle="1" w:styleId="WW8Num27z4">
    <w:name w:val="WW8Num27z4"/>
    <w:qFormat/>
    <w:rsid w:val="00276DF7"/>
  </w:style>
  <w:style w:type="character" w:customStyle="1" w:styleId="WW8Num27z5">
    <w:name w:val="WW8Num27z5"/>
    <w:qFormat/>
    <w:rsid w:val="00276DF7"/>
  </w:style>
  <w:style w:type="character" w:customStyle="1" w:styleId="WW8Num27z6">
    <w:name w:val="WW8Num27z6"/>
    <w:qFormat/>
    <w:rsid w:val="00276DF7"/>
  </w:style>
  <w:style w:type="character" w:customStyle="1" w:styleId="WW8Num27z7">
    <w:name w:val="WW8Num27z7"/>
    <w:qFormat/>
    <w:rsid w:val="00276DF7"/>
  </w:style>
  <w:style w:type="character" w:customStyle="1" w:styleId="WW8Num27z8">
    <w:name w:val="WW8Num27z8"/>
    <w:qFormat/>
    <w:rsid w:val="00276DF7"/>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uiPriority w:val="34"/>
    <w:qFormat/>
    <w:rsid w:val="00276DF7"/>
  </w:style>
  <w:style w:type="character" w:customStyle="1" w:styleId="ANAC-TitoloSottoparagrafoCarattere">
    <w:name w:val="ANAC - Titolo Sottoparagrafo Carattere"/>
    <w:qFormat/>
    <w:rsid w:val="00276DF7"/>
    <w:rPr>
      <w:rFonts w:ascii="Calibri Light" w:eastAsia="0" w:hAnsi="Calibri Light"/>
      <w:color w:val="2F5496"/>
      <w:sz w:val="28"/>
      <w:szCs w:val="22"/>
    </w:rPr>
  </w:style>
  <w:style w:type="character" w:customStyle="1" w:styleId="ANAC-TitoloParagrafoCarattere">
    <w:name w:val="ANAC - Titolo Paragrafo Carattere"/>
    <w:qFormat/>
    <w:rsid w:val="00276DF7"/>
    <w:rPr>
      <w:rFonts w:ascii="Gotham Light" w:eastAsia="0" w:hAnsi="Gotham Light"/>
      <w:color w:val="2770B7"/>
      <w:sz w:val="28"/>
    </w:rPr>
  </w:style>
  <w:style w:type="character" w:customStyle="1" w:styleId="ANAC-TitoloCapitoloCarattere">
    <w:name w:val="ANAC - Titolo Capitolo Carattere"/>
    <w:qFormat/>
    <w:rsid w:val="00276DF7"/>
    <w:rPr>
      <w:rFonts w:ascii="Gotham Light" w:eastAsia="0" w:hAnsi="Gotham Light"/>
      <w:iCs/>
      <w:color w:val="2F5496"/>
      <w:sz w:val="36"/>
      <w:szCs w:val="40"/>
    </w:rPr>
  </w:style>
  <w:style w:type="character" w:customStyle="1" w:styleId="ANAC-CapitoloCarattere">
    <w:name w:val="ANAC - Capitolo Carattere"/>
    <w:qFormat/>
    <w:rsid w:val="00276DF7"/>
    <w:rPr>
      <w:rFonts w:ascii="Calibri Light" w:eastAsia="0" w:hAnsi="Calibri Light"/>
      <w:color w:val="2F5496"/>
      <w:sz w:val="32"/>
      <w:szCs w:val="32"/>
    </w:rPr>
  </w:style>
  <w:style w:type="character" w:customStyle="1" w:styleId="TitoloParagrafoChar">
    <w:name w:val="Titolo Paragrafo Char"/>
    <w:qFormat/>
    <w:rsid w:val="00276DF7"/>
    <w:rPr>
      <w:rFonts w:ascii="Calibri Light" w:eastAsia="0" w:hAnsi="Calibri Light"/>
      <w:color w:val="2F5496"/>
      <w:sz w:val="28"/>
    </w:rPr>
  </w:style>
  <w:style w:type="character" w:customStyle="1" w:styleId="Titolo7Carattere">
    <w:name w:val="Titolo 7 Carattere"/>
    <w:qFormat/>
    <w:rsid w:val="00276DF7"/>
    <w:rPr>
      <w:rFonts w:ascii="Calibri Light" w:eastAsia="0" w:hAnsi="Calibri Light"/>
      <w:i/>
      <w:iCs/>
      <w:color w:val="1F3763"/>
    </w:rPr>
  </w:style>
  <w:style w:type="character" w:customStyle="1" w:styleId="Titolo6Carattere">
    <w:name w:val="Titolo 6 Carattere"/>
    <w:qFormat/>
    <w:rsid w:val="00276DF7"/>
    <w:rPr>
      <w:rFonts w:ascii="Calibri Light" w:eastAsia="0" w:hAnsi="Calibri Light"/>
      <w:color w:val="1F3763"/>
    </w:rPr>
  </w:style>
  <w:style w:type="character" w:customStyle="1" w:styleId="TitoloCapitoloChar">
    <w:name w:val="Titolo Capitolo Char"/>
    <w:qFormat/>
    <w:rsid w:val="00276DF7"/>
    <w:rPr>
      <w:rFonts w:ascii="Gotham Light" w:eastAsia="0" w:hAnsi="Gotham Light"/>
      <w:iCs/>
      <w:color w:val="2F5496"/>
      <w:sz w:val="36"/>
      <w:szCs w:val="40"/>
    </w:rPr>
  </w:style>
  <w:style w:type="character" w:customStyle="1" w:styleId="NumeroCapitoloChar">
    <w:name w:val="Numero Capitolo Char"/>
    <w:qFormat/>
    <w:rsid w:val="00276DF7"/>
    <w:rPr>
      <w:rFonts w:ascii="Gotham Light" w:eastAsia="0" w:hAnsi="Gotham Light"/>
      <w:color w:val="2770B7"/>
      <w:sz w:val="48"/>
      <w:szCs w:val="36"/>
    </w:rPr>
  </w:style>
  <w:style w:type="character" w:customStyle="1" w:styleId="TitoloParteChar">
    <w:name w:val="Titolo Parte Char"/>
    <w:qFormat/>
    <w:rsid w:val="00276DF7"/>
    <w:rPr>
      <w:rFonts w:ascii="Gotham Book" w:eastAsia="Times New Roman (Corpo CS)" w:hAnsi="Gotham Book"/>
      <w:caps/>
      <w:color w:val="FFFFFF"/>
      <w:sz w:val="40"/>
      <w:szCs w:val="40"/>
      <w:lang w:eastAsia="zh-CN"/>
    </w:rPr>
  </w:style>
  <w:style w:type="character" w:customStyle="1" w:styleId="ParteNumeroChar">
    <w:name w:val="Parte Numero Char"/>
    <w:qFormat/>
    <w:rsid w:val="00276DF7"/>
    <w:rPr>
      <w:rFonts w:ascii="Gotham Medium" w:eastAsia="Times New Roman (Corpo CS)" w:hAnsi="Gotham Medium"/>
      <w:caps/>
      <w:color w:val="FFFFFF"/>
      <w:sz w:val="28"/>
      <w:szCs w:val="28"/>
    </w:rPr>
  </w:style>
  <w:style w:type="character" w:customStyle="1" w:styleId="ParagrafobaseChar">
    <w:name w:val="[Paragrafo base] Char"/>
    <w:qFormat/>
    <w:rsid w:val="00276DF7"/>
    <w:rPr>
      <w:rFonts w:ascii="Minion Pro" w:eastAsia="Minion Pro" w:hAnsi="Minion Pro"/>
      <w:color w:val="000000"/>
    </w:rPr>
  </w:style>
  <w:style w:type="character" w:customStyle="1" w:styleId="NessunaspaziaturaCarattere">
    <w:name w:val="Nessuna spaziatura Carattere"/>
    <w:qFormat/>
    <w:rsid w:val="00276DF7"/>
    <w:rPr>
      <w:rFonts w:eastAsia="0"/>
      <w:szCs w:val="22"/>
      <w:lang w:eastAsia="en-US"/>
    </w:rPr>
  </w:style>
  <w:style w:type="character" w:customStyle="1" w:styleId="Caratteridinumerazione">
    <w:name w:val="Caratteri di numerazione"/>
    <w:qFormat/>
    <w:rsid w:val="00276DF7"/>
  </w:style>
  <w:style w:type="character" w:customStyle="1" w:styleId="Menzionenonrisolta1">
    <w:name w:val="Menzione non risolta1"/>
    <w:qFormat/>
    <w:rsid w:val="00276DF7"/>
    <w:rPr>
      <w:color w:val="605E5C"/>
      <w:highlight w:val="lightGray"/>
    </w:rPr>
  </w:style>
  <w:style w:type="character" w:customStyle="1" w:styleId="Punti">
    <w:name w:val="Punti"/>
    <w:qFormat/>
    <w:rsid w:val="00276DF7"/>
    <w:rPr>
      <w:rFonts w:ascii="OpenSymbol" w:eastAsia="OpenSymbol" w:hAnsi="OpenSymbol" w:cs="OpenSymbol"/>
    </w:rPr>
  </w:style>
  <w:style w:type="character" w:customStyle="1" w:styleId="Caratterinotaapidipagina">
    <w:name w:val="Caratteri nota a piè di pagina"/>
    <w:qFormat/>
    <w:rsid w:val="00276DF7"/>
  </w:style>
  <w:style w:type="character" w:customStyle="1" w:styleId="Caratterinotadichiusura">
    <w:name w:val="Caratteri nota di chiusura"/>
    <w:qFormat/>
    <w:rsid w:val="00276DF7"/>
  </w:style>
  <w:style w:type="character" w:customStyle="1" w:styleId="CITE">
    <w:name w:val="CITE"/>
    <w:qFormat/>
    <w:rsid w:val="00276DF7"/>
    <w:rPr>
      <w:i/>
    </w:rPr>
  </w:style>
  <w:style w:type="character" w:customStyle="1" w:styleId="CODE">
    <w:name w:val="CODE"/>
    <w:qFormat/>
    <w:rsid w:val="00276DF7"/>
    <w:rPr>
      <w:rFonts w:ascii="Courier New" w:hAnsi="Courier New"/>
      <w:sz w:val="20"/>
    </w:rPr>
  </w:style>
  <w:style w:type="character" w:customStyle="1" w:styleId="Keyboard">
    <w:name w:val="Keyboard"/>
    <w:qFormat/>
    <w:rsid w:val="00276DF7"/>
    <w:rPr>
      <w:rFonts w:ascii="Courier New" w:hAnsi="Courier New"/>
      <w:b/>
      <w:sz w:val="20"/>
    </w:rPr>
  </w:style>
  <w:style w:type="character" w:customStyle="1" w:styleId="Sample">
    <w:name w:val="Sample"/>
    <w:qFormat/>
    <w:rsid w:val="00276DF7"/>
    <w:rPr>
      <w:rFonts w:ascii="Courier New" w:hAnsi="Courier New"/>
    </w:rPr>
  </w:style>
  <w:style w:type="character" w:customStyle="1" w:styleId="Typewriter">
    <w:name w:val="Typewriter"/>
    <w:qFormat/>
    <w:rsid w:val="00276DF7"/>
    <w:rPr>
      <w:rFonts w:ascii="Courier New" w:hAnsi="Courier New"/>
      <w:sz w:val="20"/>
    </w:rPr>
  </w:style>
  <w:style w:type="character" w:customStyle="1" w:styleId="HTMLMarkup">
    <w:name w:val="HTML Markup"/>
    <w:qFormat/>
    <w:rsid w:val="00276DF7"/>
    <w:rPr>
      <w:vanish/>
      <w:color w:val="FF0000"/>
    </w:rPr>
  </w:style>
  <w:style w:type="character" w:customStyle="1" w:styleId="Comment">
    <w:name w:val="Comment"/>
    <w:qFormat/>
    <w:rsid w:val="00276DF7"/>
    <w:rPr>
      <w:vanish/>
    </w:rPr>
  </w:style>
  <w:style w:type="paragraph" w:styleId="Titolo">
    <w:name w:val="Title"/>
    <w:basedOn w:val="Normale"/>
    <w:next w:val="Corpotesto"/>
    <w:link w:val="TitoloCarattere1"/>
    <w:qFormat/>
    <w:rsid w:val="00276DF7"/>
    <w:pPr>
      <w:spacing w:before="240" w:after="60" w:line="276" w:lineRule="auto"/>
      <w:jc w:val="center"/>
      <w:outlineLvl w:val="0"/>
    </w:pPr>
    <w:rPr>
      <w:rFonts w:ascii="Cambria" w:eastAsia="Times New Roman" w:hAnsi="Cambria"/>
      <w:b/>
      <w:bCs/>
      <w:sz w:val="32"/>
      <w:szCs w:val="32"/>
      <w:lang w:val="x-none"/>
    </w:rPr>
  </w:style>
  <w:style w:type="character" w:customStyle="1" w:styleId="TitoloCarattere1">
    <w:name w:val="Titolo Carattere1"/>
    <w:basedOn w:val="Carpredefinitoparagrafo"/>
    <w:link w:val="Titolo"/>
    <w:rsid w:val="00276DF7"/>
    <w:rPr>
      <w:rFonts w:ascii="Cambria" w:eastAsia="Times New Roman" w:hAnsi="Cambria"/>
      <w:b/>
      <w:bCs/>
      <w:kern w:val="2"/>
      <w:sz w:val="32"/>
      <w:szCs w:val="32"/>
      <w:lang w:val="x-none" w:eastAsia="en-US"/>
    </w:rPr>
  </w:style>
  <w:style w:type="paragraph" w:styleId="Corpotesto">
    <w:name w:val="Body Text"/>
    <w:basedOn w:val="Normale"/>
    <w:link w:val="CorpotestoCarattere2"/>
    <w:rsid w:val="00276DF7"/>
    <w:pPr>
      <w:widowControl w:val="0"/>
      <w:spacing w:line="259" w:lineRule="exact"/>
      <w:jc w:val="both"/>
    </w:pPr>
    <w:rPr>
      <w:rFonts w:eastAsia="Times New Roman"/>
      <w:kern w:val="0"/>
      <w:sz w:val="26"/>
      <w:szCs w:val="20"/>
      <w:lang w:val="x-none" w:eastAsia="x-none"/>
    </w:rPr>
  </w:style>
  <w:style w:type="character" w:customStyle="1" w:styleId="CorpotestoCarattere2">
    <w:name w:val="Corpo testo Carattere2"/>
    <w:basedOn w:val="Carpredefinitoparagrafo"/>
    <w:link w:val="Corpotesto"/>
    <w:rsid w:val="00276DF7"/>
    <w:rPr>
      <w:rFonts w:eastAsia="Times New Roman"/>
      <w:sz w:val="26"/>
      <w:lang w:val="x-none" w:eastAsia="x-none"/>
    </w:rPr>
  </w:style>
  <w:style w:type="paragraph" w:styleId="Elenco">
    <w:name w:val="List"/>
    <w:basedOn w:val="Corpotesto"/>
    <w:rsid w:val="00276DF7"/>
    <w:rPr>
      <w:rFonts w:cs="Lucida Sans"/>
    </w:rPr>
  </w:style>
  <w:style w:type="paragraph" w:styleId="Didascalia">
    <w:name w:val="caption"/>
    <w:basedOn w:val="Normale"/>
    <w:next w:val="Normale"/>
    <w:qFormat/>
    <w:rsid w:val="00276DF7"/>
    <w:pPr>
      <w:spacing w:before="120" w:line="276" w:lineRule="auto"/>
      <w:jc w:val="both"/>
    </w:pPr>
    <w:rPr>
      <w:rFonts w:ascii="Garamond" w:eastAsia="Times New Roman" w:hAnsi="Garamond"/>
      <w:iCs/>
      <w:kern w:val="0"/>
      <w:szCs w:val="18"/>
    </w:rPr>
  </w:style>
  <w:style w:type="paragraph" w:customStyle="1" w:styleId="Indice">
    <w:name w:val="Indice"/>
    <w:basedOn w:val="Normale"/>
    <w:qFormat/>
    <w:rsid w:val="00276DF7"/>
    <w:pPr>
      <w:suppressLineNumbers/>
      <w:spacing w:line="276" w:lineRule="auto"/>
      <w:jc w:val="both"/>
    </w:pPr>
    <w:rPr>
      <w:rFonts w:ascii="Garamond" w:eastAsia="Times New Roman" w:hAnsi="Garamond" w:cs="Lucida Sans"/>
      <w:kern w:val="0"/>
      <w:szCs w:val="22"/>
    </w:rPr>
  </w:style>
  <w:style w:type="paragraph" w:customStyle="1" w:styleId="Default">
    <w:name w:val="Default"/>
    <w:qFormat/>
    <w:rsid w:val="00276DF7"/>
    <w:pPr>
      <w:widowControl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1"/>
    <w:qFormat/>
    <w:rsid w:val="00276DF7"/>
    <w:pPr>
      <w:jc w:val="both"/>
    </w:pPr>
    <w:rPr>
      <w:rFonts w:ascii="Tahoma" w:hAnsi="Tahoma"/>
      <w:kern w:val="0"/>
      <w:sz w:val="16"/>
      <w:szCs w:val="16"/>
      <w:lang w:val="x-none" w:eastAsia="x-none"/>
    </w:rPr>
  </w:style>
  <w:style w:type="character" w:customStyle="1" w:styleId="TestofumettoCarattere1">
    <w:name w:val="Testo fumetto Carattere1"/>
    <w:basedOn w:val="Carpredefinitoparagrafo"/>
    <w:link w:val="Testofumetto"/>
    <w:rsid w:val="00276DF7"/>
    <w:rPr>
      <w:rFonts w:ascii="Tahoma" w:hAnsi="Tahoma"/>
      <w:sz w:val="16"/>
      <w:szCs w:val="16"/>
      <w:lang w:val="x-none" w:eastAsia="x-none"/>
    </w:rPr>
  </w:style>
  <w:style w:type="paragraph" w:customStyle="1" w:styleId="Paragrafoelenco1">
    <w:name w:val="Paragrafo elenco1"/>
    <w:basedOn w:val="Normale"/>
    <w:qFormat/>
    <w:rsid w:val="00276DF7"/>
    <w:pPr>
      <w:spacing w:before="280" w:after="280" w:line="240" w:lineRule="atLeast"/>
      <w:ind w:left="720"/>
      <w:contextualSpacing/>
      <w:jc w:val="both"/>
    </w:pPr>
    <w:rPr>
      <w:rFonts w:ascii="Garamond" w:hAnsi="Garamond"/>
      <w:kern w:val="0"/>
      <w:szCs w:val="22"/>
      <w:lang w:eastAsia="it-IT"/>
    </w:rPr>
  </w:style>
  <w:style w:type="paragraph" w:customStyle="1" w:styleId="Intestazioneepidipagina">
    <w:name w:val="Intestazione e piè di pagina"/>
    <w:basedOn w:val="Normale"/>
    <w:qFormat/>
    <w:rsid w:val="00276DF7"/>
    <w:pPr>
      <w:spacing w:line="276" w:lineRule="auto"/>
      <w:jc w:val="both"/>
    </w:pPr>
    <w:rPr>
      <w:rFonts w:ascii="Garamond" w:eastAsia="Times New Roman" w:hAnsi="Garamond"/>
      <w:kern w:val="0"/>
      <w:szCs w:val="22"/>
    </w:rPr>
  </w:style>
  <w:style w:type="paragraph" w:styleId="Intestazione">
    <w:name w:val="header"/>
    <w:basedOn w:val="Normale"/>
    <w:link w:val="IntestazioneCarattere1"/>
    <w:rsid w:val="00276DF7"/>
    <w:pPr>
      <w:tabs>
        <w:tab w:val="center" w:pos="4819"/>
        <w:tab w:val="right" w:pos="9638"/>
      </w:tabs>
      <w:spacing w:before="280" w:after="280"/>
      <w:jc w:val="both"/>
    </w:pPr>
    <w:rPr>
      <w:rFonts w:ascii="Garamond" w:eastAsia="Times New Roman" w:hAnsi="Garamond"/>
      <w:kern w:val="0"/>
      <w:sz w:val="20"/>
      <w:szCs w:val="20"/>
      <w:lang w:val="x-none" w:eastAsia="it-IT"/>
    </w:rPr>
  </w:style>
  <w:style w:type="character" w:customStyle="1" w:styleId="IntestazioneCarattere1">
    <w:name w:val="Intestazione Carattere1"/>
    <w:basedOn w:val="Carpredefinitoparagrafo"/>
    <w:link w:val="Intestazione"/>
    <w:rsid w:val="00276DF7"/>
    <w:rPr>
      <w:rFonts w:ascii="Garamond" w:eastAsia="Times New Roman" w:hAnsi="Garamond"/>
      <w:lang w:val="x-none"/>
    </w:rPr>
  </w:style>
  <w:style w:type="paragraph" w:styleId="Pidipagina">
    <w:name w:val="footer"/>
    <w:basedOn w:val="Normale"/>
    <w:link w:val="PidipaginaCarattere1"/>
    <w:rsid w:val="00276DF7"/>
    <w:pPr>
      <w:tabs>
        <w:tab w:val="center" w:pos="4819"/>
        <w:tab w:val="right" w:pos="9638"/>
      </w:tabs>
      <w:spacing w:before="280" w:after="280"/>
      <w:jc w:val="both"/>
    </w:pPr>
    <w:rPr>
      <w:rFonts w:ascii="Garamond" w:eastAsia="Times New Roman" w:hAnsi="Garamond"/>
      <w:kern w:val="0"/>
      <w:sz w:val="20"/>
      <w:szCs w:val="20"/>
      <w:lang w:val="x-none" w:eastAsia="it-IT"/>
    </w:rPr>
  </w:style>
  <w:style w:type="character" w:customStyle="1" w:styleId="PidipaginaCarattere1">
    <w:name w:val="Piè di pagina Carattere1"/>
    <w:basedOn w:val="Carpredefinitoparagrafo"/>
    <w:link w:val="Pidipagina"/>
    <w:rsid w:val="00276DF7"/>
    <w:rPr>
      <w:rFonts w:ascii="Garamond" w:eastAsia="Times New Roman" w:hAnsi="Garamond"/>
      <w:lang w:val="x-none"/>
    </w:rPr>
  </w:style>
  <w:style w:type="paragraph" w:styleId="Testonotaapidipagina">
    <w:name w:val="footnote text"/>
    <w:basedOn w:val="Normale"/>
    <w:link w:val="TestonotaapidipaginaCarattere1"/>
    <w:rsid w:val="00276DF7"/>
    <w:pPr>
      <w:spacing w:before="280" w:after="280"/>
      <w:jc w:val="both"/>
    </w:pPr>
    <w:rPr>
      <w:rFonts w:ascii="Garamond" w:eastAsia="Times New Roman" w:hAnsi="Garamond"/>
      <w:kern w:val="0"/>
      <w:sz w:val="20"/>
      <w:szCs w:val="20"/>
      <w:lang w:val="x-none" w:eastAsia="it-IT"/>
    </w:rPr>
  </w:style>
  <w:style w:type="character" w:customStyle="1" w:styleId="TestonotaapidipaginaCarattere1">
    <w:name w:val="Testo nota a piè di pagina Carattere1"/>
    <w:basedOn w:val="Carpredefinitoparagrafo"/>
    <w:link w:val="Testonotaapidipagina"/>
    <w:rsid w:val="00276DF7"/>
    <w:rPr>
      <w:rFonts w:ascii="Garamond" w:eastAsia="Times New Roman" w:hAnsi="Garamond"/>
      <w:lang w:val="x-none"/>
    </w:rPr>
  </w:style>
  <w:style w:type="paragraph" w:customStyle="1" w:styleId="provvr0">
    <w:name w:val="provv_r0"/>
    <w:basedOn w:val="Normale"/>
    <w:qFormat/>
    <w:rsid w:val="00276DF7"/>
    <w:pPr>
      <w:spacing w:before="280" w:after="280"/>
      <w:jc w:val="both"/>
    </w:pPr>
    <w:rPr>
      <w:kern w:val="0"/>
      <w:lang w:eastAsia="it-IT"/>
    </w:rPr>
  </w:style>
  <w:style w:type="paragraph" w:customStyle="1" w:styleId="popolo">
    <w:name w:val="popolo"/>
    <w:basedOn w:val="Normale"/>
    <w:qFormat/>
    <w:rsid w:val="00276DF7"/>
    <w:pPr>
      <w:spacing w:before="280" w:after="280"/>
      <w:jc w:val="both"/>
    </w:pPr>
    <w:rPr>
      <w:rFonts w:ascii="Garamond" w:hAnsi="Garamond"/>
      <w:kern w:val="0"/>
      <w:sz w:val="30"/>
      <w:szCs w:val="30"/>
      <w:lang w:eastAsia="it-IT"/>
    </w:rPr>
  </w:style>
  <w:style w:type="paragraph" w:customStyle="1" w:styleId="Stile1">
    <w:name w:val="Stile1"/>
    <w:basedOn w:val="Titolo1"/>
    <w:qFormat/>
    <w:rsid w:val="00276DF7"/>
    <w:pPr>
      <w:spacing w:line="240" w:lineRule="atLeast"/>
    </w:pPr>
    <w:rPr>
      <w:rFonts w:ascii="Times New Roman" w:hAnsi="Times New Roman"/>
      <w:lang w:eastAsia="it-IT"/>
    </w:rPr>
  </w:style>
  <w:style w:type="paragraph" w:styleId="Sommario1">
    <w:name w:val="toc 1"/>
    <w:basedOn w:val="Normale"/>
    <w:next w:val="Normale"/>
    <w:autoRedefine/>
    <w:uiPriority w:val="39"/>
    <w:rsid w:val="00276DF7"/>
    <w:pPr>
      <w:tabs>
        <w:tab w:val="left" w:leader="dot" w:pos="284"/>
        <w:tab w:val="right" w:leader="dot" w:pos="9629"/>
      </w:tabs>
      <w:spacing w:line="276" w:lineRule="auto"/>
    </w:pPr>
    <w:rPr>
      <w:rFonts w:ascii="Garamond" w:eastAsia="Times New Roman" w:hAnsi="Garamond"/>
      <w:bCs/>
      <w:kern w:val="0"/>
      <w:sz w:val="20"/>
      <w:szCs w:val="20"/>
    </w:rPr>
  </w:style>
  <w:style w:type="paragraph" w:styleId="Sommario2">
    <w:name w:val="toc 2"/>
    <w:basedOn w:val="Normale"/>
    <w:next w:val="Sommario3"/>
    <w:autoRedefine/>
    <w:uiPriority w:val="39"/>
    <w:rsid w:val="00276DF7"/>
    <w:pPr>
      <w:tabs>
        <w:tab w:val="left" w:pos="440"/>
        <w:tab w:val="right" w:leader="dot" w:pos="9629"/>
      </w:tabs>
      <w:spacing w:line="336" w:lineRule="auto"/>
      <w:ind w:left="442" w:hanging="442"/>
      <w:jc w:val="both"/>
    </w:pPr>
    <w:rPr>
      <w:rFonts w:ascii="Garamond" w:eastAsia="Times New Roman" w:hAnsi="Garamond"/>
      <w:smallCaps/>
      <w:kern w:val="0"/>
      <w:sz w:val="20"/>
      <w:szCs w:val="20"/>
    </w:rPr>
  </w:style>
  <w:style w:type="paragraph" w:customStyle="1" w:styleId="Nessunaspaziatura1">
    <w:name w:val="Nessuna spaziatura1"/>
    <w:qFormat/>
    <w:rsid w:val="00276DF7"/>
    <w:pPr>
      <w:spacing w:line="276" w:lineRule="auto"/>
      <w:jc w:val="both"/>
    </w:pPr>
    <w:rPr>
      <w:rFonts w:ascii="Calibri" w:hAnsi="Calibri"/>
      <w:sz w:val="22"/>
      <w:szCs w:val="22"/>
      <w:lang w:eastAsia="en-US"/>
    </w:rPr>
  </w:style>
  <w:style w:type="paragraph" w:styleId="NormaleWeb">
    <w:name w:val="Normal (Web)"/>
    <w:basedOn w:val="Normale"/>
    <w:qFormat/>
    <w:rsid w:val="00276DF7"/>
    <w:pPr>
      <w:spacing w:before="280" w:after="280" w:line="240" w:lineRule="atLeast"/>
      <w:jc w:val="both"/>
    </w:pPr>
    <w:rPr>
      <w:rFonts w:ascii="Arial" w:hAnsi="Arial" w:cs="Arial"/>
      <w:color w:val="2A2A2A"/>
      <w:kern w:val="0"/>
      <w:sz w:val="18"/>
      <w:szCs w:val="18"/>
      <w:lang w:eastAsia="it-IT"/>
    </w:rPr>
  </w:style>
  <w:style w:type="paragraph" w:customStyle="1" w:styleId="Titolosommario1">
    <w:name w:val="Titolo sommario1"/>
    <w:basedOn w:val="Titolo1"/>
    <w:next w:val="Normale"/>
    <w:qFormat/>
    <w:rsid w:val="00276DF7"/>
  </w:style>
  <w:style w:type="paragraph" w:styleId="Testonotadichiusura">
    <w:name w:val="endnote text"/>
    <w:basedOn w:val="Normale"/>
    <w:link w:val="TestonotadichiusuraCarattere1"/>
    <w:rsid w:val="00276DF7"/>
    <w:pPr>
      <w:spacing w:line="276" w:lineRule="auto"/>
      <w:jc w:val="both"/>
    </w:pPr>
    <w:rPr>
      <w:rFonts w:ascii="Garamond" w:eastAsia="Times New Roman" w:hAnsi="Garamond"/>
      <w:kern w:val="0"/>
      <w:sz w:val="20"/>
      <w:szCs w:val="20"/>
      <w:lang w:val="x-none"/>
    </w:rPr>
  </w:style>
  <w:style w:type="character" w:customStyle="1" w:styleId="TestonotadichiusuraCarattere1">
    <w:name w:val="Testo nota di chiusura Carattere1"/>
    <w:basedOn w:val="Carpredefinitoparagrafo"/>
    <w:link w:val="Testonotadichiusura"/>
    <w:rsid w:val="00276DF7"/>
    <w:rPr>
      <w:rFonts w:ascii="Garamond" w:eastAsia="Times New Roman" w:hAnsi="Garamond"/>
      <w:lang w:val="x-none" w:eastAsia="en-US"/>
    </w:rPr>
  </w:style>
  <w:style w:type="paragraph" w:customStyle="1" w:styleId="provvr1">
    <w:name w:val="provv_r1"/>
    <w:basedOn w:val="Normale"/>
    <w:qFormat/>
    <w:rsid w:val="00276DF7"/>
    <w:pPr>
      <w:spacing w:before="280" w:after="280"/>
      <w:ind w:firstLine="400"/>
      <w:jc w:val="both"/>
    </w:pPr>
    <w:rPr>
      <w:rFonts w:eastAsia="Times New Roman"/>
      <w:kern w:val="0"/>
      <w:lang w:eastAsia="it-IT"/>
    </w:rPr>
  </w:style>
  <w:style w:type="paragraph" w:styleId="Testocommento">
    <w:name w:val="annotation text"/>
    <w:basedOn w:val="Normale"/>
    <w:link w:val="TestocommentoCarattere1"/>
    <w:qFormat/>
    <w:rsid w:val="00276DF7"/>
    <w:pPr>
      <w:spacing w:line="276" w:lineRule="auto"/>
      <w:jc w:val="both"/>
    </w:pPr>
    <w:rPr>
      <w:rFonts w:ascii="Garamond" w:eastAsia="Times New Roman" w:hAnsi="Garamond"/>
      <w:kern w:val="0"/>
      <w:sz w:val="20"/>
      <w:szCs w:val="20"/>
      <w:lang w:val="x-none"/>
    </w:rPr>
  </w:style>
  <w:style w:type="character" w:customStyle="1" w:styleId="TestocommentoCarattere1">
    <w:name w:val="Testo commento Carattere1"/>
    <w:basedOn w:val="Carpredefinitoparagrafo"/>
    <w:link w:val="Testocommento"/>
    <w:rsid w:val="00276DF7"/>
    <w:rPr>
      <w:rFonts w:ascii="Garamond" w:eastAsia="Times New Roman" w:hAnsi="Garamond"/>
      <w:lang w:val="x-none" w:eastAsia="en-US"/>
    </w:rPr>
  </w:style>
  <w:style w:type="paragraph" w:styleId="Soggettocommento">
    <w:name w:val="annotation subject"/>
    <w:basedOn w:val="Testocommento"/>
    <w:next w:val="Testocommento"/>
    <w:link w:val="SoggettocommentoCarattere1"/>
    <w:qFormat/>
    <w:rsid w:val="00276DF7"/>
    <w:rPr>
      <w:b/>
      <w:bCs/>
    </w:rPr>
  </w:style>
  <w:style w:type="character" w:customStyle="1" w:styleId="SoggettocommentoCarattere1">
    <w:name w:val="Soggetto commento Carattere1"/>
    <w:basedOn w:val="TestocommentoCarattere1"/>
    <w:link w:val="Soggettocommento"/>
    <w:rsid w:val="00276DF7"/>
    <w:rPr>
      <w:rFonts w:ascii="Garamond" w:eastAsia="Times New Roman" w:hAnsi="Garamond"/>
      <w:b/>
      <w:bCs/>
      <w:lang w:val="x-none" w:eastAsia="en-US"/>
    </w:rPr>
  </w:style>
  <w:style w:type="paragraph" w:customStyle="1" w:styleId="stile10">
    <w:name w:val="stile1"/>
    <w:basedOn w:val="Normale"/>
    <w:qFormat/>
    <w:rsid w:val="00276DF7"/>
    <w:pPr>
      <w:spacing w:before="280" w:after="280"/>
      <w:jc w:val="both"/>
    </w:pPr>
    <w:rPr>
      <w:rFonts w:eastAsia="Times New Roman"/>
      <w:kern w:val="0"/>
      <w:lang w:eastAsia="it-IT"/>
    </w:rPr>
  </w:style>
  <w:style w:type="paragraph" w:customStyle="1" w:styleId="bollo">
    <w:name w:val="bollo"/>
    <w:basedOn w:val="Normale"/>
    <w:qFormat/>
    <w:rsid w:val="00276DF7"/>
    <w:pPr>
      <w:spacing w:line="567" w:lineRule="atLeast"/>
      <w:jc w:val="both"/>
    </w:pPr>
    <w:rPr>
      <w:rFonts w:eastAsia="Times New Roman"/>
      <w:kern w:val="0"/>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276DF7"/>
    <w:pPr>
      <w:spacing w:line="276" w:lineRule="auto"/>
      <w:ind w:left="720"/>
      <w:jc w:val="both"/>
    </w:pPr>
    <w:rPr>
      <w:rFonts w:ascii="Garamond" w:hAnsi="Garamond"/>
      <w:kern w:val="0"/>
      <w:szCs w:val="22"/>
      <w:lang w:eastAsia="it-IT"/>
    </w:rPr>
  </w:style>
  <w:style w:type="paragraph" w:customStyle="1" w:styleId="provvnota">
    <w:name w:val="provv_nota"/>
    <w:basedOn w:val="Normale"/>
    <w:qFormat/>
    <w:rsid w:val="00276DF7"/>
    <w:pPr>
      <w:spacing w:before="280" w:after="280"/>
      <w:jc w:val="both"/>
    </w:pPr>
    <w:rPr>
      <w:rFonts w:eastAsia="Times New Roman"/>
      <w:kern w:val="0"/>
      <w:lang w:eastAsia="it-IT"/>
    </w:rPr>
  </w:style>
  <w:style w:type="paragraph" w:customStyle="1" w:styleId="provvestremo">
    <w:name w:val="provv_estremo"/>
    <w:basedOn w:val="Normale"/>
    <w:qFormat/>
    <w:rsid w:val="00276DF7"/>
    <w:pPr>
      <w:spacing w:before="280" w:after="280"/>
      <w:jc w:val="both"/>
    </w:pPr>
    <w:rPr>
      <w:rFonts w:eastAsia="Times New Roman"/>
      <w:b/>
      <w:bCs/>
      <w:kern w:val="0"/>
      <w:lang w:eastAsia="it-IT"/>
    </w:rPr>
  </w:style>
  <w:style w:type="paragraph" w:customStyle="1" w:styleId="Paragrafoelenco11">
    <w:name w:val="Paragrafo elenco11"/>
    <w:basedOn w:val="Normale"/>
    <w:qFormat/>
    <w:rsid w:val="00276DF7"/>
    <w:pPr>
      <w:spacing w:before="280" w:after="280" w:line="240" w:lineRule="atLeast"/>
      <w:ind w:left="720"/>
      <w:contextualSpacing/>
      <w:jc w:val="both"/>
    </w:pPr>
    <w:rPr>
      <w:rFonts w:ascii="Garamond" w:hAnsi="Garamond"/>
      <w:kern w:val="0"/>
      <w:szCs w:val="22"/>
      <w:lang w:eastAsia="it-IT"/>
    </w:rPr>
  </w:style>
  <w:style w:type="paragraph" w:styleId="Revisione">
    <w:name w:val="Revision"/>
    <w:qFormat/>
    <w:rsid w:val="00276DF7"/>
    <w:pPr>
      <w:spacing w:line="276" w:lineRule="auto"/>
      <w:jc w:val="both"/>
    </w:pPr>
    <w:rPr>
      <w:rFonts w:ascii="Calibri" w:eastAsia="Times New Roman" w:hAnsi="Calibri"/>
      <w:sz w:val="22"/>
      <w:szCs w:val="22"/>
      <w:lang w:eastAsia="en-US"/>
    </w:rPr>
  </w:style>
  <w:style w:type="paragraph" w:styleId="Rientrocorpodeltesto3">
    <w:name w:val="Body Text Indent 3"/>
    <w:basedOn w:val="Normale"/>
    <w:link w:val="Rientrocorpodeltesto3Carattere1"/>
    <w:qFormat/>
    <w:rsid w:val="00276DF7"/>
    <w:pPr>
      <w:spacing w:after="120" w:line="276" w:lineRule="auto"/>
      <w:ind w:left="283"/>
      <w:jc w:val="both"/>
    </w:pPr>
    <w:rPr>
      <w:rFonts w:ascii="Garamond" w:eastAsia="Times New Roman" w:hAnsi="Garamond"/>
      <w:kern w:val="0"/>
      <w:sz w:val="16"/>
      <w:szCs w:val="16"/>
      <w:lang w:val="x-none"/>
    </w:rPr>
  </w:style>
  <w:style w:type="character" w:customStyle="1" w:styleId="Rientrocorpodeltesto3Carattere1">
    <w:name w:val="Rientro corpo del testo 3 Carattere1"/>
    <w:basedOn w:val="Carpredefinitoparagrafo"/>
    <w:link w:val="Rientrocorpodeltesto3"/>
    <w:rsid w:val="00276DF7"/>
    <w:rPr>
      <w:rFonts w:ascii="Garamond" w:eastAsia="Times New Roman" w:hAnsi="Garamond"/>
      <w:sz w:val="16"/>
      <w:szCs w:val="16"/>
      <w:lang w:val="x-none" w:eastAsia="en-US"/>
    </w:rPr>
  </w:style>
  <w:style w:type="paragraph" w:customStyle="1" w:styleId="Rub1">
    <w:name w:val="Rub1"/>
    <w:basedOn w:val="Normale"/>
    <w:qFormat/>
    <w:rsid w:val="00276DF7"/>
    <w:pPr>
      <w:tabs>
        <w:tab w:val="left" w:pos="1276"/>
      </w:tabs>
      <w:jc w:val="both"/>
    </w:pPr>
    <w:rPr>
      <w:rFonts w:eastAsia="Times New Roman"/>
      <w:b/>
      <w:smallCaps/>
      <w:kern w:val="0"/>
      <w:sz w:val="20"/>
      <w:szCs w:val="20"/>
      <w:lang w:eastAsia="it-IT"/>
    </w:rPr>
  </w:style>
  <w:style w:type="paragraph" w:styleId="Corpodeltesto2">
    <w:name w:val="Body Text 2"/>
    <w:basedOn w:val="Normale"/>
    <w:link w:val="Corpodeltesto2Carattere1"/>
    <w:qFormat/>
    <w:rsid w:val="00276DF7"/>
    <w:pPr>
      <w:spacing w:after="120" w:line="480" w:lineRule="auto"/>
      <w:jc w:val="both"/>
    </w:pPr>
    <w:rPr>
      <w:rFonts w:ascii="Garamond" w:eastAsia="Times New Roman" w:hAnsi="Garamond"/>
      <w:kern w:val="0"/>
      <w:szCs w:val="22"/>
      <w:lang w:val="x-none"/>
    </w:rPr>
  </w:style>
  <w:style w:type="character" w:customStyle="1" w:styleId="Corpodeltesto2Carattere1">
    <w:name w:val="Corpo del testo 2 Carattere1"/>
    <w:basedOn w:val="Carpredefinitoparagrafo"/>
    <w:link w:val="Corpodeltesto2"/>
    <w:rsid w:val="00276DF7"/>
    <w:rPr>
      <w:rFonts w:ascii="Garamond" w:eastAsia="Times New Roman" w:hAnsi="Garamond"/>
      <w:sz w:val="24"/>
      <w:szCs w:val="22"/>
      <w:lang w:val="x-none" w:eastAsia="en-US"/>
    </w:rPr>
  </w:style>
  <w:style w:type="paragraph" w:customStyle="1" w:styleId="Rientrocorpodeltesto21">
    <w:name w:val="Rientro corpo del testo 21"/>
    <w:basedOn w:val="Normale"/>
    <w:qFormat/>
    <w:rsid w:val="00276DF7"/>
    <w:pPr>
      <w:ind w:left="360"/>
      <w:jc w:val="both"/>
    </w:pPr>
    <w:rPr>
      <w:rFonts w:eastAsia="Times New Roman"/>
      <w:kern w:val="0"/>
      <w:szCs w:val="20"/>
      <w:lang w:eastAsia="it-IT"/>
    </w:rPr>
  </w:style>
  <w:style w:type="paragraph" w:customStyle="1" w:styleId="noteapi">
    <w:name w:val="note a piè"/>
    <w:basedOn w:val="Testonotaapidipagina"/>
    <w:qFormat/>
    <w:rsid w:val="00276DF7"/>
    <w:rPr>
      <w:rFonts w:ascii="Times New Roman" w:hAnsi="Times New Roman"/>
    </w:rPr>
  </w:style>
  <w:style w:type="paragraph" w:styleId="Mappadocumento">
    <w:name w:val="Document Map"/>
    <w:basedOn w:val="Normale"/>
    <w:link w:val="MappadocumentoCarattere1"/>
    <w:qFormat/>
    <w:rsid w:val="00276DF7"/>
    <w:pPr>
      <w:spacing w:line="276" w:lineRule="auto"/>
      <w:jc w:val="both"/>
    </w:pPr>
    <w:rPr>
      <w:rFonts w:ascii="Tahoma" w:eastAsia="Times New Roman" w:hAnsi="Tahoma"/>
      <w:kern w:val="0"/>
      <w:sz w:val="16"/>
      <w:szCs w:val="16"/>
      <w:lang w:val="x-none"/>
    </w:rPr>
  </w:style>
  <w:style w:type="character" w:customStyle="1" w:styleId="MappadocumentoCarattere1">
    <w:name w:val="Mappa documento Carattere1"/>
    <w:basedOn w:val="Carpredefinitoparagrafo"/>
    <w:link w:val="Mappadocumento"/>
    <w:rsid w:val="00276DF7"/>
    <w:rPr>
      <w:rFonts w:ascii="Tahoma" w:eastAsia="Times New Roman" w:hAnsi="Tahoma"/>
      <w:sz w:val="16"/>
      <w:szCs w:val="16"/>
      <w:lang w:val="x-none" w:eastAsia="en-US"/>
    </w:rPr>
  </w:style>
  <w:style w:type="paragraph" w:customStyle="1" w:styleId="grassetto1">
    <w:name w:val="grassetto1"/>
    <w:basedOn w:val="Normale"/>
    <w:qFormat/>
    <w:rsid w:val="00276DF7"/>
    <w:pPr>
      <w:spacing w:after="24"/>
    </w:pPr>
    <w:rPr>
      <w:rFonts w:eastAsia="Times New Roman"/>
      <w:b/>
      <w:bCs/>
      <w:kern w:val="0"/>
      <w:lang w:eastAsia="it-IT"/>
    </w:rPr>
  </w:style>
  <w:style w:type="paragraph" w:styleId="Sottotitolo">
    <w:name w:val="Subtitle"/>
    <w:basedOn w:val="Normale"/>
    <w:next w:val="Normale"/>
    <w:link w:val="SottotitoloCarattere1"/>
    <w:qFormat/>
    <w:rsid w:val="00276DF7"/>
    <w:pPr>
      <w:spacing w:after="60" w:line="276" w:lineRule="auto"/>
      <w:jc w:val="center"/>
      <w:outlineLvl w:val="1"/>
    </w:pPr>
    <w:rPr>
      <w:rFonts w:ascii="Cambria" w:eastAsia="Times New Roman" w:hAnsi="Cambria"/>
      <w:kern w:val="0"/>
      <w:lang w:val="x-none"/>
    </w:rPr>
  </w:style>
  <w:style w:type="character" w:customStyle="1" w:styleId="SottotitoloCarattere1">
    <w:name w:val="Sottotitolo Carattere1"/>
    <w:basedOn w:val="Carpredefinitoparagrafo"/>
    <w:link w:val="Sottotitolo"/>
    <w:rsid w:val="00276DF7"/>
    <w:rPr>
      <w:rFonts w:ascii="Cambria" w:eastAsia="Times New Roman" w:hAnsi="Cambria"/>
      <w:sz w:val="24"/>
      <w:szCs w:val="24"/>
      <w:lang w:val="x-none" w:eastAsia="en-US"/>
    </w:rPr>
  </w:style>
  <w:style w:type="paragraph" w:styleId="Titolosommario">
    <w:name w:val="TOC Heading"/>
    <w:basedOn w:val="Titolo1"/>
    <w:next w:val="Normale"/>
    <w:qFormat/>
    <w:rsid w:val="00276DF7"/>
    <w:pPr>
      <w:jc w:val="left"/>
    </w:pPr>
    <w:rPr>
      <w:rFonts w:eastAsia="Times New Roman"/>
      <w:lang w:val="it-IT" w:eastAsia="it-IT"/>
    </w:rPr>
  </w:style>
  <w:style w:type="paragraph" w:customStyle="1" w:styleId="provvc">
    <w:name w:val="provv_c"/>
    <w:basedOn w:val="Normale"/>
    <w:qFormat/>
    <w:rsid w:val="00276DF7"/>
    <w:pPr>
      <w:spacing w:before="280" w:after="280"/>
      <w:jc w:val="center"/>
    </w:pPr>
    <w:rPr>
      <w:rFonts w:eastAsia="Times New Roman"/>
      <w:kern w:val="0"/>
      <w:lang w:eastAsia="it-IT"/>
    </w:rPr>
  </w:style>
  <w:style w:type="paragraph" w:styleId="Sommario3">
    <w:name w:val="toc 3"/>
    <w:basedOn w:val="Normale"/>
    <w:next w:val="Normale"/>
    <w:autoRedefine/>
    <w:uiPriority w:val="39"/>
    <w:rsid w:val="00276DF7"/>
    <w:pPr>
      <w:tabs>
        <w:tab w:val="left" w:pos="1100"/>
        <w:tab w:val="right" w:leader="dot" w:pos="9629"/>
      </w:tabs>
      <w:ind w:left="896" w:hanging="454"/>
    </w:pPr>
    <w:rPr>
      <w:rFonts w:ascii="Garamond" w:eastAsia="Times New Roman" w:hAnsi="Garamond"/>
      <w:iCs/>
      <w:kern w:val="0"/>
      <w:sz w:val="20"/>
      <w:szCs w:val="20"/>
    </w:rPr>
  </w:style>
  <w:style w:type="paragraph" w:customStyle="1" w:styleId="Rientrocorpodeltesto211">
    <w:name w:val="Rientro corpo del testo 211"/>
    <w:basedOn w:val="Normale"/>
    <w:qFormat/>
    <w:rsid w:val="00276DF7"/>
    <w:pPr>
      <w:ind w:left="360"/>
      <w:jc w:val="both"/>
    </w:pPr>
    <w:rPr>
      <w:rFonts w:eastAsia="Times New Roman"/>
      <w:kern w:val="0"/>
      <w:szCs w:val="20"/>
      <w:lang w:eastAsia="it-IT"/>
    </w:rPr>
  </w:style>
  <w:style w:type="paragraph" w:styleId="Rientrocorpodeltesto2">
    <w:name w:val="Body Text Indent 2"/>
    <w:basedOn w:val="Normale"/>
    <w:link w:val="Rientrocorpodeltesto2Carattere1"/>
    <w:qFormat/>
    <w:rsid w:val="00276DF7"/>
    <w:pPr>
      <w:tabs>
        <w:tab w:val="left" w:pos="1068"/>
      </w:tabs>
      <w:ind w:left="720"/>
      <w:jc w:val="both"/>
    </w:pPr>
    <w:rPr>
      <w:rFonts w:eastAsia="Times New Roman"/>
      <w:kern w:val="0"/>
      <w:lang w:eastAsia="it-IT"/>
    </w:rPr>
  </w:style>
  <w:style w:type="character" w:customStyle="1" w:styleId="Rientrocorpodeltesto2Carattere1">
    <w:name w:val="Rientro corpo del testo 2 Carattere1"/>
    <w:basedOn w:val="Carpredefinitoparagrafo"/>
    <w:link w:val="Rientrocorpodeltesto2"/>
    <w:rsid w:val="00276DF7"/>
    <w:rPr>
      <w:rFonts w:eastAsia="Times New Roman"/>
      <w:sz w:val="24"/>
      <w:szCs w:val="24"/>
    </w:rPr>
  </w:style>
  <w:style w:type="paragraph" w:customStyle="1" w:styleId="sche3">
    <w:name w:val="sche_3"/>
    <w:qFormat/>
    <w:rsid w:val="00276DF7"/>
    <w:pPr>
      <w:widowControl w:val="0"/>
      <w:jc w:val="both"/>
      <w:textAlignment w:val="baseline"/>
    </w:pPr>
    <w:rPr>
      <w:rFonts w:eastAsia="Times New Roman"/>
      <w:sz w:val="24"/>
      <w:lang w:val="en-US"/>
    </w:rPr>
  </w:style>
  <w:style w:type="paragraph" w:customStyle="1" w:styleId="Text2">
    <w:name w:val="Text 2"/>
    <w:basedOn w:val="Normale"/>
    <w:qFormat/>
    <w:rsid w:val="00276DF7"/>
    <w:pPr>
      <w:tabs>
        <w:tab w:val="left" w:pos="2161"/>
      </w:tabs>
      <w:spacing w:after="240"/>
      <w:ind w:left="1077"/>
      <w:jc w:val="both"/>
    </w:pPr>
    <w:rPr>
      <w:rFonts w:eastAsia="Times New Roman"/>
      <w:kern w:val="0"/>
      <w:szCs w:val="20"/>
      <w:lang w:eastAsia="it-IT"/>
    </w:rPr>
  </w:style>
  <w:style w:type="paragraph" w:styleId="Rientrocorpodeltesto">
    <w:name w:val="Body Text Indent"/>
    <w:basedOn w:val="Normale"/>
    <w:link w:val="RientrocorpodeltestoCarattere1"/>
    <w:rsid w:val="00276DF7"/>
    <w:pPr>
      <w:tabs>
        <w:tab w:val="left" w:pos="0"/>
        <w:tab w:val="left" w:pos="1725"/>
        <w:tab w:val="left" w:pos="8496"/>
      </w:tabs>
      <w:suppressAutoHyphens/>
      <w:ind w:left="708"/>
      <w:jc w:val="both"/>
    </w:pPr>
    <w:rPr>
      <w:rFonts w:eastAsia="Times New Roman"/>
      <w:b/>
      <w:bCs/>
      <w:i/>
      <w:iCs/>
      <w:kern w:val="0"/>
      <w:sz w:val="20"/>
      <w:szCs w:val="20"/>
      <w:lang w:eastAsia="it-IT"/>
    </w:rPr>
  </w:style>
  <w:style w:type="character" w:customStyle="1" w:styleId="RientrocorpodeltestoCarattere1">
    <w:name w:val="Rientro corpo del testo Carattere1"/>
    <w:basedOn w:val="Carpredefinitoparagrafo"/>
    <w:link w:val="Rientrocorpodeltesto"/>
    <w:rsid w:val="00276DF7"/>
    <w:rPr>
      <w:rFonts w:eastAsia="Times New Roman"/>
      <w:b/>
      <w:bCs/>
      <w:i/>
      <w:iCs/>
    </w:rPr>
  </w:style>
  <w:style w:type="paragraph" w:styleId="Corpodeltesto3">
    <w:name w:val="Body Text 3"/>
    <w:basedOn w:val="Normale"/>
    <w:link w:val="Corpodeltesto3Carattere1"/>
    <w:qFormat/>
    <w:rsid w:val="00276DF7"/>
    <w:pPr>
      <w:tabs>
        <w:tab w:val="left" w:pos="0"/>
        <w:tab w:val="left" w:pos="8496"/>
      </w:tabs>
      <w:suppressAutoHyphens/>
      <w:spacing w:before="240" w:after="120"/>
      <w:jc w:val="both"/>
    </w:pPr>
    <w:rPr>
      <w:rFonts w:eastAsia="Times New Roman"/>
      <w:b/>
      <w:bCs/>
      <w:i/>
      <w:iCs/>
      <w:kern w:val="0"/>
      <w:sz w:val="20"/>
      <w:lang w:eastAsia="it-IT"/>
    </w:rPr>
  </w:style>
  <w:style w:type="character" w:customStyle="1" w:styleId="Corpodeltesto3Carattere1">
    <w:name w:val="Corpo del testo 3 Carattere1"/>
    <w:basedOn w:val="Carpredefinitoparagrafo"/>
    <w:link w:val="Corpodeltesto3"/>
    <w:rsid w:val="00276DF7"/>
    <w:rPr>
      <w:rFonts w:eastAsia="Times New Roman"/>
      <w:b/>
      <w:bCs/>
      <w:i/>
      <w:iCs/>
      <w:szCs w:val="24"/>
    </w:rPr>
  </w:style>
  <w:style w:type="paragraph" w:customStyle="1" w:styleId="Rub3">
    <w:name w:val="Rub3"/>
    <w:basedOn w:val="Normale"/>
    <w:next w:val="Normale"/>
    <w:qFormat/>
    <w:rsid w:val="00276DF7"/>
    <w:pPr>
      <w:tabs>
        <w:tab w:val="left" w:pos="709"/>
      </w:tabs>
      <w:jc w:val="both"/>
    </w:pPr>
    <w:rPr>
      <w:rFonts w:eastAsia="Times New Roman"/>
      <w:b/>
      <w:i/>
      <w:kern w:val="0"/>
      <w:sz w:val="20"/>
      <w:szCs w:val="20"/>
      <w:lang w:eastAsia="it-IT"/>
    </w:rPr>
  </w:style>
  <w:style w:type="paragraph" w:customStyle="1" w:styleId="Titoloparagrafobandotipo">
    <w:name w:val="Titolo paragrafo bando tipo"/>
    <w:basedOn w:val="Sottotitolo"/>
    <w:autoRedefine/>
    <w:qFormat/>
    <w:rsid w:val="00276DF7"/>
    <w:pPr>
      <w:keepNext/>
      <w:spacing w:before="300" w:after="120" w:line="240" w:lineRule="auto"/>
      <w:ind w:left="-142"/>
      <w:jc w:val="left"/>
      <w:outlineLvl w:val="0"/>
    </w:pPr>
    <w:rPr>
      <w:rFonts w:ascii="Calibri" w:hAnsi="Calibri"/>
      <w:b/>
      <w:i/>
      <w:szCs w:val="22"/>
      <w:lang w:val="it-IT" w:eastAsia="it-IT"/>
    </w:rPr>
  </w:style>
  <w:style w:type="paragraph" w:customStyle="1" w:styleId="avviso">
    <w:name w:val="avviso"/>
    <w:basedOn w:val="Paragrafoelenco"/>
    <w:qFormat/>
    <w:rsid w:val="00276DF7"/>
    <w:pPr>
      <w:keepNext/>
      <w:spacing w:before="120" w:after="120" w:line="240" w:lineRule="auto"/>
      <w:ind w:left="0"/>
    </w:pPr>
    <w:rPr>
      <w:rFonts w:eastAsia="Times New Roman"/>
      <w:b/>
      <w:i/>
      <w:szCs w:val="24"/>
      <w:lang w:eastAsia="en-US"/>
    </w:rPr>
  </w:style>
  <w:style w:type="paragraph" w:customStyle="1" w:styleId="CM11">
    <w:name w:val="CM1+1"/>
    <w:basedOn w:val="Default"/>
    <w:next w:val="Default"/>
    <w:qFormat/>
    <w:rsid w:val="00276DF7"/>
    <w:pPr>
      <w:widowControl/>
      <w:spacing w:line="240" w:lineRule="auto"/>
      <w:jc w:val="left"/>
    </w:pPr>
    <w:rPr>
      <w:rFonts w:ascii="EUAlbertina" w:hAnsi="EUAlbertina" w:cs="Times New Roman"/>
      <w:color w:val="auto"/>
    </w:rPr>
  </w:style>
  <w:style w:type="paragraph" w:customStyle="1" w:styleId="CM31">
    <w:name w:val="CM3+1"/>
    <w:basedOn w:val="Default"/>
    <w:next w:val="Default"/>
    <w:qFormat/>
    <w:rsid w:val="00276DF7"/>
    <w:pPr>
      <w:widowControl/>
      <w:spacing w:line="240" w:lineRule="auto"/>
      <w:jc w:val="left"/>
    </w:pPr>
    <w:rPr>
      <w:rFonts w:ascii="EUAlbertina" w:hAnsi="EUAlbertina" w:cs="Times New Roman"/>
      <w:color w:val="auto"/>
    </w:rPr>
  </w:style>
  <w:style w:type="paragraph" w:styleId="Nessunaspaziatura">
    <w:name w:val="No Spacing"/>
    <w:qFormat/>
    <w:rsid w:val="00276DF7"/>
    <w:pPr>
      <w:jc w:val="both"/>
    </w:pPr>
    <w:rPr>
      <w:rFonts w:ascii="Calibri" w:eastAsia="Times New Roman" w:hAnsi="Calibri"/>
      <w:sz w:val="22"/>
      <w:szCs w:val="22"/>
      <w:lang w:eastAsia="en-US"/>
    </w:rPr>
  </w:style>
  <w:style w:type="paragraph" w:customStyle="1" w:styleId="Sommariodisciplinare">
    <w:name w:val="Sommario disciplinare"/>
    <w:basedOn w:val="Sommario1"/>
    <w:next w:val="Titolo2"/>
    <w:autoRedefine/>
    <w:qFormat/>
    <w:rsid w:val="00276DF7"/>
    <w:rPr>
      <w:rFonts w:cs="Calibri"/>
      <w:szCs w:val="24"/>
      <w:lang w:eastAsia="it-IT"/>
    </w:rPr>
  </w:style>
  <w:style w:type="paragraph" w:styleId="Sommario4">
    <w:name w:val="toc 4"/>
    <w:basedOn w:val="Normale"/>
    <w:next w:val="Normale"/>
    <w:autoRedefine/>
    <w:rsid w:val="00276DF7"/>
    <w:pPr>
      <w:spacing w:line="276" w:lineRule="auto"/>
      <w:ind w:left="660"/>
    </w:pPr>
    <w:rPr>
      <w:rFonts w:ascii="Calibri" w:eastAsia="Times New Roman" w:hAnsi="Calibri"/>
      <w:kern w:val="0"/>
      <w:sz w:val="18"/>
      <w:szCs w:val="18"/>
    </w:rPr>
  </w:style>
  <w:style w:type="paragraph" w:styleId="Sommario5">
    <w:name w:val="toc 5"/>
    <w:basedOn w:val="Normale"/>
    <w:next w:val="Normale"/>
    <w:autoRedefine/>
    <w:rsid w:val="00276DF7"/>
    <w:pPr>
      <w:spacing w:line="276" w:lineRule="auto"/>
      <w:ind w:left="880"/>
    </w:pPr>
    <w:rPr>
      <w:rFonts w:ascii="Calibri" w:eastAsia="Times New Roman" w:hAnsi="Calibri"/>
      <w:kern w:val="0"/>
      <w:sz w:val="18"/>
      <w:szCs w:val="18"/>
    </w:rPr>
  </w:style>
  <w:style w:type="paragraph" w:styleId="Sommario6">
    <w:name w:val="toc 6"/>
    <w:basedOn w:val="Normale"/>
    <w:next w:val="Normale"/>
    <w:autoRedefine/>
    <w:rsid w:val="00276DF7"/>
    <w:pPr>
      <w:spacing w:line="276" w:lineRule="auto"/>
      <w:ind w:left="1100"/>
    </w:pPr>
    <w:rPr>
      <w:rFonts w:ascii="Calibri" w:eastAsia="Times New Roman" w:hAnsi="Calibri"/>
      <w:kern w:val="0"/>
      <w:sz w:val="18"/>
      <w:szCs w:val="18"/>
    </w:rPr>
  </w:style>
  <w:style w:type="paragraph" w:styleId="Sommario7">
    <w:name w:val="toc 7"/>
    <w:basedOn w:val="Normale"/>
    <w:next w:val="Normale"/>
    <w:autoRedefine/>
    <w:rsid w:val="00276DF7"/>
    <w:pPr>
      <w:spacing w:line="276" w:lineRule="auto"/>
      <w:ind w:left="1320"/>
    </w:pPr>
    <w:rPr>
      <w:rFonts w:ascii="Calibri" w:eastAsia="Times New Roman" w:hAnsi="Calibri"/>
      <w:kern w:val="0"/>
      <w:sz w:val="18"/>
      <w:szCs w:val="18"/>
    </w:rPr>
  </w:style>
  <w:style w:type="paragraph" w:styleId="Sommario8">
    <w:name w:val="toc 8"/>
    <w:basedOn w:val="Normale"/>
    <w:next w:val="Normale"/>
    <w:autoRedefine/>
    <w:rsid w:val="00276DF7"/>
    <w:pPr>
      <w:spacing w:line="276" w:lineRule="auto"/>
      <w:ind w:left="1540"/>
    </w:pPr>
    <w:rPr>
      <w:rFonts w:ascii="Calibri" w:eastAsia="Times New Roman" w:hAnsi="Calibri"/>
      <w:kern w:val="0"/>
      <w:sz w:val="18"/>
      <w:szCs w:val="18"/>
    </w:rPr>
  </w:style>
  <w:style w:type="paragraph" w:styleId="Sommario9">
    <w:name w:val="toc 9"/>
    <w:basedOn w:val="Normale"/>
    <w:next w:val="Normale"/>
    <w:autoRedefine/>
    <w:rsid w:val="00276DF7"/>
    <w:pPr>
      <w:spacing w:line="276" w:lineRule="auto"/>
      <w:ind w:left="1760"/>
    </w:pPr>
    <w:rPr>
      <w:rFonts w:ascii="Calibri" w:eastAsia="Times New Roman" w:hAnsi="Calibri"/>
      <w:kern w:val="0"/>
      <w:sz w:val="18"/>
      <w:szCs w:val="18"/>
    </w:rPr>
  </w:style>
  <w:style w:type="paragraph" w:styleId="Testonormale">
    <w:name w:val="Plain Text"/>
    <w:basedOn w:val="Normale"/>
    <w:link w:val="TestonormaleCarattere1"/>
    <w:qFormat/>
    <w:rsid w:val="00276DF7"/>
    <w:pPr>
      <w:spacing w:line="276" w:lineRule="auto"/>
    </w:pPr>
    <w:rPr>
      <w:rFonts w:ascii="Garamond" w:eastAsia="Times New Roman" w:hAnsi="Garamond" w:cs="Consolas"/>
      <w:kern w:val="0"/>
      <w:szCs w:val="21"/>
    </w:rPr>
  </w:style>
  <w:style w:type="character" w:customStyle="1" w:styleId="TestonormaleCarattere1">
    <w:name w:val="Testo normale Carattere1"/>
    <w:basedOn w:val="Carpredefinitoparagrafo"/>
    <w:link w:val="Testonormale"/>
    <w:rsid w:val="00276DF7"/>
    <w:rPr>
      <w:rFonts w:ascii="Garamond" w:eastAsia="Times New Roman" w:hAnsi="Garamond" w:cs="Consolas"/>
      <w:sz w:val="24"/>
      <w:szCs w:val="21"/>
      <w:lang w:eastAsia="en-US"/>
    </w:rPr>
  </w:style>
  <w:style w:type="paragraph" w:customStyle="1" w:styleId="usoboll1">
    <w:name w:val="usoboll1"/>
    <w:basedOn w:val="Normale"/>
    <w:qFormat/>
    <w:rsid w:val="00276DF7"/>
    <w:pPr>
      <w:widowControl w:val="0"/>
      <w:suppressAutoHyphens/>
      <w:spacing w:line="482" w:lineRule="atLeast"/>
      <w:jc w:val="both"/>
    </w:pPr>
    <w:rPr>
      <w:rFonts w:eastAsia="Times New Roman"/>
      <w:kern w:val="0"/>
      <w:szCs w:val="20"/>
      <w:lang w:eastAsia="ar-SA"/>
    </w:rPr>
  </w:style>
  <w:style w:type="paragraph" w:customStyle="1" w:styleId="ANCATABELLATITOLOBIANCO">
    <w:name w:val="ANCA_TABELLA_TITOLO BIANCO"/>
    <w:basedOn w:val="Normale"/>
    <w:qFormat/>
    <w:rsid w:val="00276DF7"/>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1560" w:right="142"/>
      <w:jc w:val="both"/>
    </w:pPr>
    <w:rPr>
      <w:rFonts w:ascii="Gotham Book" w:eastAsia="Times New Roman" w:hAnsi="Gotham Book" w:cs="Gotham Book"/>
      <w:color w:val="FFFFFF"/>
      <w:kern w:val="0"/>
      <w:sz w:val="20"/>
      <w:szCs w:val="20"/>
    </w:rPr>
  </w:style>
  <w:style w:type="paragraph" w:customStyle="1" w:styleId="ANACTABELLATESTOBIANCO">
    <w:name w:val="ANAC_TABELLA_TESTO_BIANCO"/>
    <w:basedOn w:val="Normale"/>
    <w:qFormat/>
    <w:rsid w:val="00276DF7"/>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1560" w:right="142"/>
      <w:jc w:val="both"/>
    </w:pPr>
    <w:rPr>
      <w:rFonts w:ascii="Gotham Book" w:eastAsia="Times New Roman" w:hAnsi="Gotham Book" w:cs="Gotham Book"/>
      <w:color w:val="FFFFFF"/>
      <w:kern w:val="0"/>
      <w:sz w:val="20"/>
      <w:szCs w:val="20"/>
    </w:rPr>
  </w:style>
  <w:style w:type="paragraph" w:customStyle="1" w:styleId="ANACDATA">
    <w:name w:val="ANAC_DATA"/>
    <w:qFormat/>
    <w:rsid w:val="00276DF7"/>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24"/>
      <w:lang w:eastAsia="ar-SA"/>
    </w:rPr>
  </w:style>
  <w:style w:type="paragraph" w:customStyle="1" w:styleId="ANAC-TitoloSottoparagrafo">
    <w:name w:val="ANAC - Titolo Sottoparagrafo"/>
    <w:qFormat/>
    <w:rsid w:val="00276DF7"/>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olor w:val="2F5496"/>
      <w:sz w:val="24"/>
      <w:szCs w:val="22"/>
      <w:lang w:eastAsia="ar-SA"/>
    </w:rPr>
  </w:style>
  <w:style w:type="paragraph" w:customStyle="1" w:styleId="ANAC-TitoloParagrafo">
    <w:name w:val="ANAC - Titolo Paragrafo"/>
    <w:qFormat/>
    <w:rsid w:val="00276DF7"/>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olor w:val="2770B7"/>
      <w:sz w:val="28"/>
      <w:lang w:eastAsia="ar-SA"/>
    </w:rPr>
  </w:style>
  <w:style w:type="paragraph" w:customStyle="1" w:styleId="ANAC-TitoloCapitolo">
    <w:name w:val="ANAC - Titolo Capitolo"/>
    <w:qFormat/>
    <w:rsid w:val="00276DF7"/>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36"/>
      <w:szCs w:val="40"/>
      <w:lang w:eastAsia="ar-SA"/>
    </w:rPr>
  </w:style>
  <w:style w:type="paragraph" w:customStyle="1" w:styleId="ANAC-Capitolo">
    <w:name w:val="ANAC - Capitolo"/>
    <w:basedOn w:val="Titolo1"/>
    <w:qFormat/>
    <w:rsid w:val="00276DF7"/>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pPr>
    <w:rPr>
      <w:rFonts w:ascii="Calibri Light" w:eastAsia="0" w:hAnsi="Calibri Light"/>
      <w:color w:val="2F5496"/>
      <w:sz w:val="32"/>
      <w:szCs w:val="32"/>
      <w:lang w:eastAsia="ar-SA"/>
    </w:rPr>
  </w:style>
  <w:style w:type="paragraph" w:customStyle="1" w:styleId="TitoloParagrafo">
    <w:name w:val="Titolo Paragrafo"/>
    <w:basedOn w:val="Titolo5"/>
    <w:qFormat/>
    <w:rsid w:val="00276DF7"/>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TitoloCapitolo">
    <w:name w:val="Titolo Capitolo"/>
    <w:basedOn w:val="Titolo4"/>
    <w:qFormat/>
    <w:rsid w:val="00276DF7"/>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NumeroCapitolo">
    <w:name w:val="Numero Capitolo"/>
    <w:basedOn w:val="Titolo3"/>
    <w:qFormat/>
    <w:rsid w:val="00276DF7"/>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Parte">
    <w:name w:val="Titolo Parte"/>
    <w:basedOn w:val="Titolo2"/>
    <w:qFormat/>
    <w:rsid w:val="00276DF7"/>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ParteNumero">
    <w:name w:val="Parte Numero"/>
    <w:basedOn w:val="Titolo1"/>
    <w:qFormat/>
    <w:rsid w:val="00276DF7"/>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jc w:val="right"/>
    </w:pPr>
    <w:rPr>
      <w:rFonts w:ascii="Gotham Medium" w:eastAsia="Times New Roman (Corpo CS)" w:hAnsi="Gotham Medium"/>
      <w:caps/>
      <w:color w:val="FFFFFF"/>
      <w:lang w:eastAsia="ar-SA"/>
    </w:rPr>
  </w:style>
  <w:style w:type="paragraph" w:customStyle="1" w:styleId="Paragrafobase">
    <w:name w:val="[Paragrafo base]"/>
    <w:basedOn w:val="Normale"/>
    <w:qFormat/>
    <w:rsid w:val="00276DF7"/>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jc w:val="both"/>
      <w:textAlignment w:val="center"/>
    </w:pPr>
    <w:rPr>
      <w:rFonts w:ascii="Minion Pro" w:eastAsia="Minion Pro" w:hAnsi="Minion Pro"/>
      <w:color w:val="000000"/>
      <w:kern w:val="0"/>
      <w:szCs w:val="22"/>
      <w:lang w:eastAsia="ar-SA"/>
    </w:rPr>
  </w:style>
  <w:style w:type="paragraph" w:customStyle="1" w:styleId="Contenutocornice">
    <w:name w:val="Contenuto cornice"/>
    <w:basedOn w:val="Normale"/>
    <w:qFormat/>
    <w:rsid w:val="00276DF7"/>
    <w:pPr>
      <w:spacing w:line="276" w:lineRule="auto"/>
      <w:jc w:val="both"/>
    </w:pPr>
    <w:rPr>
      <w:rFonts w:ascii="Garamond" w:eastAsia="Times New Roman" w:hAnsi="Garamond"/>
      <w:kern w:val="0"/>
      <w:szCs w:val="22"/>
    </w:rPr>
  </w:style>
  <w:style w:type="paragraph" w:customStyle="1" w:styleId="Contenutotabella">
    <w:name w:val="Contenuto tabella"/>
    <w:basedOn w:val="Normale"/>
    <w:qFormat/>
    <w:rsid w:val="00276DF7"/>
    <w:pPr>
      <w:suppressLineNumbers/>
      <w:spacing w:line="276" w:lineRule="auto"/>
      <w:jc w:val="both"/>
    </w:pPr>
    <w:rPr>
      <w:rFonts w:ascii="Garamond" w:eastAsia="Times New Roman" w:hAnsi="Garamond"/>
      <w:kern w:val="0"/>
      <w:szCs w:val="22"/>
    </w:rPr>
  </w:style>
  <w:style w:type="paragraph" w:customStyle="1" w:styleId="Standard">
    <w:name w:val="Standard"/>
    <w:qFormat/>
    <w:rsid w:val="00276DF7"/>
    <w:pPr>
      <w:suppressAutoHyphens/>
      <w:spacing w:after="160" w:line="259" w:lineRule="auto"/>
      <w:textAlignment w:val="baseline"/>
    </w:pPr>
    <w:rPr>
      <w:rFonts w:ascii="Calibri" w:hAnsi="Calibri"/>
      <w:sz w:val="24"/>
      <w:lang w:eastAsia="en-US"/>
    </w:rPr>
  </w:style>
  <w:style w:type="paragraph" w:customStyle="1" w:styleId="Testopreformattato">
    <w:name w:val="Testo preformattato"/>
    <w:basedOn w:val="Normale"/>
    <w:qFormat/>
    <w:rsid w:val="00276DF7"/>
    <w:pPr>
      <w:spacing w:line="276" w:lineRule="auto"/>
      <w:jc w:val="both"/>
    </w:pPr>
    <w:rPr>
      <w:rFonts w:ascii="Liberation Mono" w:eastAsia="Liberation Mono" w:hAnsi="Liberation Mono" w:cs="Liberation Mono"/>
      <w:kern w:val="0"/>
      <w:sz w:val="20"/>
      <w:szCs w:val="20"/>
    </w:rPr>
  </w:style>
  <w:style w:type="paragraph" w:customStyle="1" w:styleId="Testocitato">
    <w:name w:val="Testo citato"/>
    <w:basedOn w:val="Normale"/>
    <w:qFormat/>
    <w:rsid w:val="00276DF7"/>
    <w:pPr>
      <w:spacing w:after="283" w:line="276" w:lineRule="auto"/>
      <w:ind w:left="567" w:right="567"/>
      <w:jc w:val="both"/>
    </w:pPr>
    <w:rPr>
      <w:rFonts w:ascii="Garamond" w:eastAsia="Times New Roman" w:hAnsi="Garamond"/>
      <w:kern w:val="0"/>
      <w:szCs w:val="22"/>
    </w:rPr>
  </w:style>
  <w:style w:type="paragraph" w:customStyle="1" w:styleId="DefinitionTerm">
    <w:name w:val="Definition Term"/>
    <w:basedOn w:val="Normale"/>
    <w:qFormat/>
    <w:rsid w:val="00276DF7"/>
    <w:pPr>
      <w:spacing w:line="276" w:lineRule="auto"/>
      <w:jc w:val="both"/>
    </w:pPr>
    <w:rPr>
      <w:rFonts w:ascii="Garamond" w:eastAsia="Times New Roman" w:hAnsi="Garamond"/>
      <w:kern w:val="0"/>
      <w:szCs w:val="22"/>
    </w:rPr>
  </w:style>
  <w:style w:type="paragraph" w:customStyle="1" w:styleId="DefinitionList">
    <w:name w:val="Definition List"/>
    <w:basedOn w:val="Normale"/>
    <w:qFormat/>
    <w:rsid w:val="00276DF7"/>
    <w:pPr>
      <w:spacing w:line="276" w:lineRule="auto"/>
      <w:ind w:left="360"/>
      <w:jc w:val="both"/>
    </w:pPr>
    <w:rPr>
      <w:rFonts w:ascii="Garamond" w:eastAsia="Times New Roman" w:hAnsi="Garamond"/>
      <w:kern w:val="0"/>
      <w:szCs w:val="22"/>
    </w:rPr>
  </w:style>
  <w:style w:type="paragraph" w:customStyle="1" w:styleId="H1">
    <w:name w:val="H1"/>
    <w:basedOn w:val="Normale"/>
    <w:qFormat/>
    <w:rsid w:val="00276DF7"/>
    <w:pPr>
      <w:keepNext/>
      <w:spacing w:before="100" w:after="100" w:line="276" w:lineRule="auto"/>
      <w:jc w:val="both"/>
      <w:outlineLvl w:val="1"/>
    </w:pPr>
    <w:rPr>
      <w:rFonts w:ascii="Garamond" w:eastAsia="Times New Roman" w:hAnsi="Garamond"/>
      <w:b/>
      <w:sz w:val="48"/>
      <w:szCs w:val="22"/>
    </w:rPr>
  </w:style>
  <w:style w:type="paragraph" w:customStyle="1" w:styleId="H2">
    <w:name w:val="H2"/>
    <w:basedOn w:val="Normale"/>
    <w:qFormat/>
    <w:rsid w:val="00276DF7"/>
    <w:pPr>
      <w:keepNext/>
      <w:spacing w:before="100" w:after="100" w:line="276" w:lineRule="auto"/>
      <w:jc w:val="both"/>
      <w:outlineLvl w:val="2"/>
    </w:pPr>
    <w:rPr>
      <w:rFonts w:ascii="Garamond" w:eastAsia="Times New Roman" w:hAnsi="Garamond"/>
      <w:b/>
      <w:kern w:val="0"/>
      <w:sz w:val="36"/>
      <w:szCs w:val="22"/>
    </w:rPr>
  </w:style>
  <w:style w:type="paragraph" w:customStyle="1" w:styleId="H3">
    <w:name w:val="H3"/>
    <w:basedOn w:val="Normale"/>
    <w:qFormat/>
    <w:rsid w:val="00276DF7"/>
    <w:pPr>
      <w:keepNext/>
      <w:spacing w:before="100" w:after="100" w:line="276" w:lineRule="auto"/>
      <w:jc w:val="both"/>
      <w:outlineLvl w:val="3"/>
    </w:pPr>
    <w:rPr>
      <w:rFonts w:ascii="Garamond" w:eastAsia="Times New Roman" w:hAnsi="Garamond"/>
      <w:b/>
      <w:kern w:val="0"/>
      <w:sz w:val="28"/>
      <w:szCs w:val="22"/>
    </w:rPr>
  </w:style>
  <w:style w:type="paragraph" w:customStyle="1" w:styleId="H4">
    <w:name w:val="H4"/>
    <w:basedOn w:val="Normale"/>
    <w:qFormat/>
    <w:rsid w:val="00276DF7"/>
    <w:pPr>
      <w:keepNext/>
      <w:spacing w:before="100" w:after="100" w:line="276" w:lineRule="auto"/>
      <w:jc w:val="both"/>
      <w:outlineLvl w:val="4"/>
    </w:pPr>
    <w:rPr>
      <w:rFonts w:ascii="Garamond" w:eastAsia="Times New Roman" w:hAnsi="Garamond"/>
      <w:b/>
      <w:kern w:val="0"/>
      <w:szCs w:val="22"/>
    </w:rPr>
  </w:style>
  <w:style w:type="paragraph" w:customStyle="1" w:styleId="H5">
    <w:name w:val="H5"/>
    <w:basedOn w:val="Normale"/>
    <w:qFormat/>
    <w:rsid w:val="00276DF7"/>
    <w:pPr>
      <w:keepNext/>
      <w:spacing w:before="100" w:after="100" w:line="276" w:lineRule="auto"/>
      <w:jc w:val="both"/>
      <w:outlineLvl w:val="5"/>
    </w:pPr>
    <w:rPr>
      <w:rFonts w:ascii="Garamond" w:eastAsia="Times New Roman" w:hAnsi="Garamond"/>
      <w:b/>
      <w:kern w:val="0"/>
      <w:sz w:val="20"/>
      <w:szCs w:val="22"/>
    </w:rPr>
  </w:style>
  <w:style w:type="paragraph" w:customStyle="1" w:styleId="H6">
    <w:name w:val="H6"/>
    <w:basedOn w:val="Normale"/>
    <w:qFormat/>
    <w:rsid w:val="00276DF7"/>
    <w:pPr>
      <w:keepNext/>
      <w:spacing w:before="100" w:after="100" w:line="276" w:lineRule="auto"/>
      <w:jc w:val="both"/>
      <w:outlineLvl w:val="6"/>
    </w:pPr>
    <w:rPr>
      <w:rFonts w:ascii="Garamond" w:eastAsia="Times New Roman" w:hAnsi="Garamond"/>
      <w:b/>
      <w:kern w:val="0"/>
      <w:sz w:val="16"/>
      <w:szCs w:val="22"/>
    </w:rPr>
  </w:style>
  <w:style w:type="paragraph" w:customStyle="1" w:styleId="Address">
    <w:name w:val="Address"/>
    <w:basedOn w:val="Normale"/>
    <w:qFormat/>
    <w:rsid w:val="00276DF7"/>
    <w:pPr>
      <w:spacing w:line="276" w:lineRule="auto"/>
      <w:jc w:val="both"/>
    </w:pPr>
    <w:rPr>
      <w:rFonts w:ascii="Garamond" w:eastAsia="Times New Roman" w:hAnsi="Garamond"/>
      <w:i/>
      <w:kern w:val="0"/>
      <w:szCs w:val="22"/>
    </w:rPr>
  </w:style>
  <w:style w:type="paragraph" w:customStyle="1" w:styleId="Blockquote">
    <w:name w:val="Blockquote"/>
    <w:basedOn w:val="Normale"/>
    <w:qFormat/>
    <w:rsid w:val="00276DF7"/>
    <w:pPr>
      <w:spacing w:before="100" w:after="100" w:line="276" w:lineRule="auto"/>
      <w:ind w:left="360" w:right="360"/>
      <w:jc w:val="both"/>
    </w:pPr>
    <w:rPr>
      <w:rFonts w:ascii="Garamond" w:eastAsia="Times New Roman" w:hAnsi="Garamond"/>
      <w:kern w:val="0"/>
      <w:szCs w:val="22"/>
    </w:rPr>
  </w:style>
  <w:style w:type="paragraph" w:customStyle="1" w:styleId="Preformatted">
    <w:name w:val="Preformatted"/>
    <w:basedOn w:val="Normale"/>
    <w:qFormat/>
    <w:rsid w:val="00276DF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pPr>
    <w:rPr>
      <w:rFonts w:ascii="Courier New" w:eastAsia="Times New Roman" w:hAnsi="Courier New"/>
      <w:kern w:val="0"/>
      <w:sz w:val="20"/>
      <w:szCs w:val="22"/>
    </w:rPr>
  </w:style>
  <w:style w:type="paragraph" w:customStyle="1" w:styleId="z-BottomofForm">
    <w:name w:val="z-Bottom of Form"/>
    <w:qFormat/>
    <w:rsid w:val="00276DF7"/>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276DF7"/>
    <w:pPr>
      <w:pBdr>
        <w:bottom w:val="double" w:sz="2" w:space="0" w:color="000000"/>
      </w:pBdr>
      <w:jc w:val="center"/>
    </w:pPr>
    <w:rPr>
      <w:rFonts w:ascii="Arial" w:eastAsia="Arial" w:hAnsi="Arial" w:cs="Courier New"/>
      <w:vanish/>
      <w:sz w:val="16"/>
      <w:szCs w:val="24"/>
    </w:rPr>
  </w:style>
  <w:style w:type="numbering" w:customStyle="1" w:styleId="Nessunelenco1">
    <w:name w:val="Nessun elenco1"/>
    <w:qFormat/>
    <w:rsid w:val="00276DF7"/>
  </w:style>
  <w:style w:type="numbering" w:customStyle="1" w:styleId="Stile2">
    <w:name w:val="Stile2"/>
    <w:qFormat/>
    <w:rsid w:val="00276DF7"/>
  </w:style>
  <w:style w:type="numbering" w:customStyle="1" w:styleId="WW8Num27">
    <w:name w:val="WW8Num27"/>
    <w:qFormat/>
    <w:rsid w:val="00276DF7"/>
  </w:style>
  <w:style w:type="table" w:styleId="Grigliatabella">
    <w:name w:val="Table Grid"/>
    <w:basedOn w:val="Tabellanormale"/>
    <w:uiPriority w:val="39"/>
    <w:rsid w:val="00276DF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276DF7"/>
    <w:rPr>
      <w:color w:val="0563C1"/>
      <w:u w:val="single"/>
    </w:rPr>
  </w:style>
  <w:style w:type="table" w:styleId="Grigliatabellachiara">
    <w:name w:val="Grid Table Light"/>
    <w:basedOn w:val="Tabellanormale"/>
    <w:uiPriority w:val="40"/>
    <w:rsid w:val="00276DF7"/>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imandonotaapidipagina">
    <w:name w:val="footnote reference"/>
    <w:uiPriority w:val="99"/>
    <w:semiHidden/>
    <w:unhideWhenUsed/>
    <w:rsid w:val="00276DF7"/>
    <w:rPr>
      <w:vertAlign w:val="superscript"/>
    </w:rPr>
  </w:style>
  <w:style w:type="character" w:styleId="Collegamentovisitato">
    <w:name w:val="FollowedHyperlink"/>
    <w:uiPriority w:val="99"/>
    <w:semiHidden/>
    <w:unhideWhenUsed/>
    <w:rsid w:val="00276DF7"/>
    <w:rPr>
      <w:color w:val="954F72"/>
      <w:u w:val="single"/>
    </w:rPr>
  </w:style>
  <w:style w:type="character" w:customStyle="1" w:styleId="Menzionenonrisolta2">
    <w:name w:val="Menzione non risolta2"/>
    <w:uiPriority w:val="99"/>
    <w:semiHidden/>
    <w:unhideWhenUsed/>
    <w:rsid w:val="00276DF7"/>
    <w:rPr>
      <w:color w:val="605E5C"/>
      <w:shd w:val="clear" w:color="auto" w:fill="E1DFDD"/>
    </w:rPr>
  </w:style>
  <w:style w:type="character" w:customStyle="1" w:styleId="Menzionenonrisolta3">
    <w:name w:val="Menzione non risolta3"/>
    <w:uiPriority w:val="99"/>
    <w:semiHidden/>
    <w:unhideWhenUsed/>
    <w:rsid w:val="00276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857513">
      <w:bodyDiv w:val="1"/>
      <w:marLeft w:val="0"/>
      <w:marRight w:val="0"/>
      <w:marTop w:val="0"/>
      <w:marBottom w:val="0"/>
      <w:divBdr>
        <w:top w:val="none" w:sz="0" w:space="0" w:color="auto"/>
        <w:left w:val="none" w:sz="0" w:space="0" w:color="auto"/>
        <w:bottom w:val="none" w:sz="0" w:space="0" w:color="auto"/>
        <w:right w:val="none" w:sz="0" w:space="0" w:color="auto"/>
      </w:divBdr>
    </w:div>
    <w:div w:id="19306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ss.it/ivass/imprese_jsp/HomePage.jsp" TargetMode="External"/><Relationship Id="rId13" Type="http://schemas.openxmlformats.org/officeDocument/2006/relationships/hyperlink" Target="https://www.anticorruzione.it/-/gestione-contributi-gara" TargetMode="External"/><Relationship Id="rId3" Type="http://schemas.openxmlformats.org/officeDocument/2006/relationships/settings" Target="settings.xml"/><Relationship Id="rId7" Type="http://schemas.openxmlformats.org/officeDocument/2006/relationships/hyperlink" Target="http://www.bancaditalia.it/compiti/vigilanza/avvisi-pub/garanzie-finanziarie/" TargetMode="External"/><Relationship Id="rId12" Type="http://schemas.openxmlformats.org/officeDocument/2006/relationships/hyperlink" Target="https://www.anticorruzione.it/-/portale-dei-pagamenti-di-ana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ancaditalia.it/compiti/vigilanza/intermediari/index.html" TargetMode="External"/><Relationship Id="rId11" Type="http://schemas.openxmlformats.org/officeDocument/2006/relationships/hyperlink" Target="https://www.anticorruzione.it/-/gestione-contributi-gara" TargetMode="External"/><Relationship Id="rId5" Type="http://schemas.openxmlformats.org/officeDocument/2006/relationships/hyperlink" Target="https://www.bosettiegatti.eu/info/norme/statali/1993_0385.htm" TargetMode="External"/><Relationship Id="rId15" Type="http://schemas.openxmlformats.org/officeDocument/2006/relationships/hyperlink" Target="http://bd01.leggiditalia.it/cgi-bin/FulShow?TIPO=5&amp;NOTXT=1&amp;KEY=01LX0000107749ART67" TargetMode="External"/><Relationship Id="rId10" Type="http://schemas.openxmlformats.org/officeDocument/2006/relationships/hyperlink" Target="https://www.anticorruzione.it/-/gestione-contributi-gara" TargetMode="External"/><Relationship Id="rId4" Type="http://schemas.openxmlformats.org/officeDocument/2006/relationships/webSettings" Target="webSettings.xml"/><Relationship Id="rId9" Type="http://schemas.openxmlformats.org/officeDocument/2006/relationships/hyperlink" Target="https://www.anticorruzione.it/-/garanzie-finanziarie" TargetMode="External"/><Relationship Id="rId14" Type="http://schemas.openxmlformats.org/officeDocument/2006/relationships/hyperlink" Target="http://www.indicenormativa.it/norma/urn:nir:presidente.repubblica:decreto:1972-10-26;64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42173</Words>
  <Characters>240388</Characters>
  <Application>Microsoft Office Word</Application>
  <DocSecurity>0</DocSecurity>
  <Lines>2003</Lines>
  <Paragraphs>563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Oliveri</dc:creator>
  <cp:keywords/>
  <dc:description/>
  <cp:lastModifiedBy>Luigi Oliveri</cp:lastModifiedBy>
  <cp:revision>2</cp:revision>
  <dcterms:created xsi:type="dcterms:W3CDTF">2023-08-06T15:36:00Z</dcterms:created>
  <dcterms:modified xsi:type="dcterms:W3CDTF">2023-08-06T15:36:00Z</dcterms:modified>
</cp:coreProperties>
</file>